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6237" w:type="dxa"/>
        <w:tblInd w:w="1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4536"/>
      </w:tblGrid>
      <w:tr w:rsidR="00FB51BC" w:rsidRPr="005A1892" w14:paraId="7E21B4DC" w14:textId="77777777" w:rsidTr="00FB51BC">
        <w:trPr>
          <w:trHeight w:val="442"/>
        </w:trPr>
        <w:tc>
          <w:tcPr>
            <w:tcW w:w="6237" w:type="dxa"/>
            <w:gridSpan w:val="2"/>
            <w:shd w:val="clear" w:color="auto" w:fill="DD8383"/>
            <w:vAlign w:val="center"/>
          </w:tcPr>
          <w:p w14:paraId="74C67FCC" w14:textId="77777777" w:rsidR="00FB51BC" w:rsidRPr="005A1892" w:rsidRDefault="00FB51BC" w:rsidP="00686E30">
            <w:pPr>
              <w:spacing w:after="0" w:line="240" w:lineRule="auto"/>
              <w:ind w:left="369"/>
              <w:jc w:val="center"/>
              <w:rPr>
                <w:rFonts w:ascii="Arial" w:eastAsia="Arial" w:hAnsi="Arial" w:cs="Arial"/>
                <w:b/>
              </w:rPr>
            </w:pPr>
            <w:r>
              <w:rPr>
                <w:rFonts w:ascii="Arial" w:eastAsia="Arial" w:hAnsi="Arial" w:cs="Arial"/>
                <w:b/>
              </w:rPr>
              <w:t>Localiza el voto [</w:t>
            </w:r>
            <w:r w:rsidRPr="005A1892">
              <w:rPr>
                <w:rFonts w:ascii="Arial" w:eastAsia="Arial" w:hAnsi="Arial" w:cs="Arial"/>
                <w:i/>
                <w:sz w:val="18"/>
                <w:szCs w:val="18"/>
              </w:rPr>
              <w:t>Datos de identificación</w:t>
            </w:r>
            <w:r>
              <w:rPr>
                <w:rFonts w:ascii="Arial" w:eastAsia="Arial" w:hAnsi="Arial" w:cs="Arial"/>
                <w:b/>
              </w:rPr>
              <w:t>]</w:t>
            </w:r>
          </w:p>
        </w:tc>
      </w:tr>
      <w:tr w:rsidR="00FB51BC" w:rsidRPr="005A1892" w14:paraId="2DEBAEC9" w14:textId="77777777" w:rsidTr="00FB51BC">
        <w:trPr>
          <w:trHeight w:val="420"/>
          <w:tblHeader/>
        </w:trPr>
        <w:tc>
          <w:tcPr>
            <w:tcW w:w="1701" w:type="dxa"/>
            <w:shd w:val="clear" w:color="auto" w:fill="F8A2A2"/>
            <w:vAlign w:val="center"/>
          </w:tcPr>
          <w:p w14:paraId="6E245095" w14:textId="77777777" w:rsidR="00FB51BC" w:rsidRPr="005A1892" w:rsidRDefault="00FB51BC" w:rsidP="00686E30">
            <w:pPr>
              <w:spacing w:after="0" w:line="240" w:lineRule="auto"/>
              <w:jc w:val="center"/>
              <w:rPr>
                <w:rFonts w:ascii="Arial Narrow" w:eastAsia="Arial" w:hAnsi="Arial Narrow" w:cs="Arial"/>
                <w:i/>
                <w:sz w:val="20"/>
                <w:szCs w:val="20"/>
              </w:rPr>
            </w:pPr>
            <w:r w:rsidRPr="005A1892">
              <w:rPr>
                <w:rFonts w:ascii="Arial Narrow" w:eastAsia="Arial" w:hAnsi="Arial Narrow" w:cs="Arial"/>
                <w:i/>
                <w:sz w:val="20"/>
                <w:szCs w:val="20"/>
              </w:rPr>
              <w:t>Tipo de Voto</w:t>
            </w:r>
          </w:p>
        </w:tc>
        <w:tc>
          <w:tcPr>
            <w:tcW w:w="4536" w:type="dxa"/>
            <w:vAlign w:val="center"/>
          </w:tcPr>
          <w:p w14:paraId="02345D4B" w14:textId="77777777" w:rsidR="00FB51BC" w:rsidRPr="005A1892" w:rsidRDefault="00FB51BC" w:rsidP="00686E30">
            <w:pPr>
              <w:spacing w:after="0" w:line="240" w:lineRule="auto"/>
              <w:ind w:left="369"/>
              <w:jc w:val="center"/>
              <w:rPr>
                <w:rFonts w:ascii="Arial" w:eastAsia="Arial" w:hAnsi="Arial" w:cs="Arial"/>
                <w:b/>
                <w:sz w:val="24"/>
                <w:szCs w:val="24"/>
              </w:rPr>
            </w:pPr>
            <w:r w:rsidRPr="005A1892">
              <w:rPr>
                <w:rFonts w:ascii="Arial" w:eastAsia="Arial" w:hAnsi="Arial" w:cs="Arial"/>
                <w:b/>
                <w:sz w:val="24"/>
                <w:szCs w:val="24"/>
              </w:rPr>
              <w:t>Concurrente</w:t>
            </w:r>
          </w:p>
        </w:tc>
      </w:tr>
      <w:tr w:rsidR="00FB51BC" w:rsidRPr="005A1892" w14:paraId="46481EE8" w14:textId="77777777" w:rsidTr="00FB51BC">
        <w:trPr>
          <w:trHeight w:val="384"/>
        </w:trPr>
        <w:tc>
          <w:tcPr>
            <w:tcW w:w="1701" w:type="dxa"/>
            <w:shd w:val="clear" w:color="auto" w:fill="F8A2A2"/>
            <w:vAlign w:val="center"/>
          </w:tcPr>
          <w:p w14:paraId="459D12C3" w14:textId="77777777" w:rsidR="00FB51BC" w:rsidRPr="005A1892" w:rsidRDefault="00FB51BC" w:rsidP="00686E30">
            <w:pPr>
              <w:spacing w:after="0" w:line="240" w:lineRule="auto"/>
              <w:jc w:val="center"/>
              <w:rPr>
                <w:rFonts w:ascii="Arial Narrow" w:eastAsia="Arial" w:hAnsi="Arial Narrow" w:cs="Arial"/>
                <w:i/>
                <w:sz w:val="20"/>
                <w:szCs w:val="20"/>
              </w:rPr>
            </w:pPr>
            <w:r w:rsidRPr="005A1892">
              <w:rPr>
                <w:rFonts w:ascii="Arial Narrow" w:eastAsia="Arial" w:hAnsi="Arial Narrow" w:cs="Arial"/>
                <w:i/>
                <w:sz w:val="20"/>
                <w:szCs w:val="20"/>
              </w:rPr>
              <w:t>Órgano</w:t>
            </w:r>
          </w:p>
        </w:tc>
        <w:tc>
          <w:tcPr>
            <w:tcW w:w="4536" w:type="dxa"/>
            <w:vAlign w:val="center"/>
          </w:tcPr>
          <w:p w14:paraId="35E5A718" w14:textId="77777777" w:rsidR="00FB51BC" w:rsidRPr="005A1892" w:rsidRDefault="00FB51BC" w:rsidP="00686E30">
            <w:pPr>
              <w:spacing w:after="0" w:line="240" w:lineRule="auto"/>
              <w:ind w:left="369"/>
              <w:jc w:val="center"/>
              <w:rPr>
                <w:rFonts w:ascii="Arial" w:eastAsia="Arial" w:hAnsi="Arial" w:cs="Arial"/>
                <w:i/>
                <w:sz w:val="18"/>
                <w:szCs w:val="18"/>
              </w:rPr>
            </w:pPr>
            <w:r w:rsidRPr="005A1892">
              <w:rPr>
                <w:rFonts w:ascii="Arial" w:eastAsia="Arial" w:hAnsi="Arial" w:cs="Arial"/>
                <w:i/>
                <w:sz w:val="18"/>
                <w:szCs w:val="18"/>
              </w:rPr>
              <w:t>Décimo Tribunal Colegiado en Materia Civil del  Primer Circuito</w:t>
            </w:r>
          </w:p>
        </w:tc>
      </w:tr>
      <w:tr w:rsidR="00FB51BC" w:rsidRPr="005A1892" w14:paraId="58E82B0B" w14:textId="77777777" w:rsidTr="00FB51BC">
        <w:trPr>
          <w:trHeight w:val="336"/>
        </w:trPr>
        <w:tc>
          <w:tcPr>
            <w:tcW w:w="1701" w:type="dxa"/>
            <w:shd w:val="clear" w:color="auto" w:fill="F8A2A2"/>
            <w:vAlign w:val="center"/>
          </w:tcPr>
          <w:p w14:paraId="57D6864B" w14:textId="77777777" w:rsidR="00FB51BC" w:rsidRPr="005A1892" w:rsidRDefault="00FB51BC" w:rsidP="00686E30">
            <w:pPr>
              <w:spacing w:after="0" w:line="240" w:lineRule="auto"/>
              <w:jc w:val="center"/>
              <w:rPr>
                <w:rFonts w:ascii="Arial Narrow" w:eastAsia="Arial" w:hAnsi="Arial Narrow" w:cs="Arial"/>
                <w:i/>
                <w:sz w:val="20"/>
                <w:szCs w:val="20"/>
              </w:rPr>
            </w:pPr>
            <w:r w:rsidRPr="005A1892">
              <w:rPr>
                <w:rFonts w:ascii="Arial Narrow" w:eastAsia="Arial" w:hAnsi="Arial Narrow" w:cs="Arial"/>
                <w:i/>
                <w:sz w:val="20"/>
                <w:szCs w:val="20"/>
              </w:rPr>
              <w:t>Tipo de Asunto</w:t>
            </w:r>
          </w:p>
        </w:tc>
        <w:tc>
          <w:tcPr>
            <w:tcW w:w="4536" w:type="dxa"/>
            <w:vAlign w:val="center"/>
          </w:tcPr>
          <w:p w14:paraId="5BEAC72F" w14:textId="77777777" w:rsidR="00FB51BC" w:rsidRPr="005A1892" w:rsidRDefault="00FB51BC" w:rsidP="00686E30">
            <w:pPr>
              <w:spacing w:after="0" w:line="240" w:lineRule="auto"/>
              <w:ind w:left="369"/>
              <w:jc w:val="center"/>
              <w:rPr>
                <w:rFonts w:ascii="Arial" w:eastAsia="Arial" w:hAnsi="Arial" w:cs="Arial"/>
                <w:b/>
              </w:rPr>
            </w:pPr>
            <w:r>
              <w:rPr>
                <w:rFonts w:ascii="Arial" w:eastAsia="Arial" w:hAnsi="Arial" w:cs="Arial"/>
                <w:b/>
              </w:rPr>
              <w:t>Incidente</w:t>
            </w:r>
            <w:r w:rsidRPr="005A1892">
              <w:rPr>
                <w:rFonts w:ascii="Arial" w:eastAsia="Arial" w:hAnsi="Arial" w:cs="Arial"/>
                <w:b/>
              </w:rPr>
              <w:t xml:space="preserve"> en Revisión</w:t>
            </w:r>
          </w:p>
        </w:tc>
      </w:tr>
      <w:tr w:rsidR="00FB51BC" w:rsidRPr="005A1892" w14:paraId="17A29DFE" w14:textId="77777777" w:rsidTr="00FB51BC">
        <w:trPr>
          <w:trHeight w:val="384"/>
        </w:trPr>
        <w:tc>
          <w:tcPr>
            <w:tcW w:w="1701" w:type="dxa"/>
            <w:shd w:val="clear" w:color="auto" w:fill="F8A2A2"/>
            <w:vAlign w:val="center"/>
          </w:tcPr>
          <w:p w14:paraId="5DC81E16" w14:textId="77777777" w:rsidR="00FB51BC" w:rsidRPr="005A1892" w:rsidRDefault="00FB51BC" w:rsidP="00686E30">
            <w:pPr>
              <w:spacing w:after="0" w:line="240" w:lineRule="auto"/>
              <w:jc w:val="center"/>
              <w:rPr>
                <w:rFonts w:ascii="Arial Narrow" w:eastAsia="Arial" w:hAnsi="Arial Narrow" w:cs="Arial"/>
                <w:i/>
                <w:sz w:val="20"/>
                <w:szCs w:val="20"/>
              </w:rPr>
            </w:pPr>
            <w:r w:rsidRPr="005A1892">
              <w:rPr>
                <w:rFonts w:ascii="Arial Narrow" w:eastAsia="Arial" w:hAnsi="Arial Narrow" w:cs="Arial"/>
                <w:i/>
                <w:sz w:val="20"/>
                <w:szCs w:val="20"/>
              </w:rPr>
              <w:t>Número</w:t>
            </w:r>
          </w:p>
        </w:tc>
        <w:tc>
          <w:tcPr>
            <w:tcW w:w="4536" w:type="dxa"/>
            <w:vAlign w:val="center"/>
          </w:tcPr>
          <w:p w14:paraId="61370AB5" w14:textId="77777777" w:rsidR="00FB51BC" w:rsidRPr="005A1892" w:rsidRDefault="00FB51BC" w:rsidP="00686E30">
            <w:pPr>
              <w:spacing w:after="0" w:line="240" w:lineRule="auto"/>
              <w:ind w:left="369"/>
              <w:jc w:val="center"/>
              <w:rPr>
                <w:rFonts w:ascii="Arial" w:eastAsia="Arial" w:hAnsi="Arial" w:cs="Arial"/>
                <w:b/>
                <w:sz w:val="28"/>
                <w:szCs w:val="28"/>
              </w:rPr>
            </w:pPr>
            <w:r>
              <w:rPr>
                <w:rFonts w:ascii="Arial" w:eastAsia="Arial" w:hAnsi="Arial" w:cs="Arial"/>
                <w:b/>
                <w:color w:val="CC0000"/>
                <w:sz w:val="28"/>
                <w:szCs w:val="28"/>
              </w:rPr>
              <w:t>201</w:t>
            </w:r>
            <w:r w:rsidRPr="005A1892">
              <w:rPr>
                <w:rFonts w:ascii="Arial" w:eastAsia="Arial" w:hAnsi="Arial" w:cs="Arial"/>
                <w:b/>
                <w:color w:val="CC0000"/>
                <w:sz w:val="28"/>
                <w:szCs w:val="28"/>
              </w:rPr>
              <w:t>/2025</w:t>
            </w:r>
          </w:p>
        </w:tc>
      </w:tr>
      <w:tr w:rsidR="00FB51BC" w:rsidRPr="005A1892" w14:paraId="2BCA699A" w14:textId="77777777" w:rsidTr="00FB51BC">
        <w:trPr>
          <w:trHeight w:val="384"/>
        </w:trPr>
        <w:tc>
          <w:tcPr>
            <w:tcW w:w="1701" w:type="dxa"/>
            <w:shd w:val="clear" w:color="auto" w:fill="F8A2A2"/>
            <w:vAlign w:val="center"/>
          </w:tcPr>
          <w:p w14:paraId="5493E3C0" w14:textId="77777777" w:rsidR="00FB51BC" w:rsidRPr="005A1892" w:rsidRDefault="00FB51BC" w:rsidP="00686E30">
            <w:pPr>
              <w:spacing w:after="0" w:line="240" w:lineRule="auto"/>
              <w:jc w:val="center"/>
              <w:rPr>
                <w:rFonts w:ascii="Arial Narrow" w:eastAsia="Arial" w:hAnsi="Arial Narrow" w:cs="Arial"/>
                <w:i/>
                <w:sz w:val="20"/>
                <w:szCs w:val="20"/>
              </w:rPr>
            </w:pPr>
            <w:r>
              <w:rPr>
                <w:rFonts w:ascii="Arial Narrow" w:eastAsia="Arial" w:hAnsi="Arial Narrow" w:cs="Arial"/>
                <w:i/>
                <w:sz w:val="20"/>
                <w:szCs w:val="20"/>
              </w:rPr>
              <w:t xml:space="preserve">Discusión </w:t>
            </w:r>
          </w:p>
        </w:tc>
        <w:tc>
          <w:tcPr>
            <w:tcW w:w="4536" w:type="dxa"/>
            <w:vAlign w:val="center"/>
          </w:tcPr>
          <w:p w14:paraId="48952BB8" w14:textId="02E1082E" w:rsidR="00FB51BC" w:rsidRPr="00C3762F" w:rsidRDefault="00FB51BC" w:rsidP="00686E30">
            <w:pPr>
              <w:spacing w:after="0" w:line="240" w:lineRule="auto"/>
              <w:jc w:val="center"/>
              <w:rPr>
                <w:rFonts w:ascii="Arial" w:eastAsia="Arial" w:hAnsi="Arial" w:cs="Arial"/>
                <w:i/>
                <w:sz w:val="18"/>
                <w:szCs w:val="18"/>
              </w:rPr>
            </w:pPr>
            <w:r w:rsidRPr="00C3762F">
              <w:rPr>
                <w:rFonts w:ascii="Arial" w:eastAsia="Arial" w:hAnsi="Arial" w:cs="Arial"/>
                <w:i/>
                <w:sz w:val="18"/>
                <w:szCs w:val="18"/>
              </w:rPr>
              <w:t xml:space="preserve">Video de la sesión: </w:t>
            </w:r>
            <w:hyperlink r:id="rId8" w:history="1">
              <w:r w:rsidR="008C0530" w:rsidRPr="008C0530">
                <w:rPr>
                  <w:rStyle w:val="Hipervnculo"/>
                  <w:rFonts w:ascii="Arial" w:eastAsia="Arial" w:hAnsi="Arial" w:cs="Arial"/>
                  <w:i/>
                  <w:color w:val="auto"/>
                  <w:sz w:val="18"/>
                  <w:szCs w:val="18"/>
                </w:rPr>
                <w:t>[</w:t>
              </w:r>
              <w:proofErr w:type="spellStart"/>
              <w:r w:rsidR="008C0530" w:rsidRPr="008C0530">
                <w:rPr>
                  <w:rStyle w:val="Hipervnculo"/>
                  <w:rFonts w:ascii="Arial" w:eastAsia="Arial" w:hAnsi="Arial" w:cs="Arial"/>
                  <w:i/>
                  <w:color w:val="C00000"/>
                  <w:sz w:val="18"/>
                  <w:szCs w:val="18"/>
                </w:rPr>
                <w:t>Click</w:t>
              </w:r>
              <w:proofErr w:type="spellEnd"/>
              <w:r w:rsidR="008C0530" w:rsidRPr="008C0530">
                <w:rPr>
                  <w:rStyle w:val="Hipervnculo"/>
                  <w:rFonts w:ascii="Arial" w:eastAsia="Arial" w:hAnsi="Arial" w:cs="Arial"/>
                  <w:i/>
                  <w:color w:val="C00000"/>
                  <w:sz w:val="18"/>
                  <w:szCs w:val="18"/>
                </w:rPr>
                <w:t xml:space="preserve"> aquí</w:t>
              </w:r>
              <w:r w:rsidR="008C0530" w:rsidRPr="008C0530">
                <w:rPr>
                  <w:rStyle w:val="Hipervnculo"/>
                  <w:rFonts w:ascii="Arial" w:eastAsia="Arial" w:hAnsi="Arial" w:cs="Arial"/>
                  <w:i/>
                  <w:color w:val="auto"/>
                  <w:sz w:val="18"/>
                  <w:szCs w:val="18"/>
                </w:rPr>
                <w:t>]</w:t>
              </w:r>
            </w:hyperlink>
          </w:p>
          <w:p w14:paraId="1DBB0C0F" w14:textId="555F78E9" w:rsidR="00FB51BC" w:rsidRPr="005A1892" w:rsidRDefault="00FB51BC" w:rsidP="00C3762F">
            <w:pPr>
              <w:spacing w:after="0" w:line="240" w:lineRule="auto"/>
              <w:ind w:left="369"/>
              <w:jc w:val="center"/>
              <w:rPr>
                <w:rFonts w:ascii="Arial" w:eastAsia="Arial" w:hAnsi="Arial" w:cs="Arial"/>
                <w:b/>
                <w:color w:val="CC0000"/>
                <w:sz w:val="28"/>
                <w:szCs w:val="28"/>
              </w:rPr>
            </w:pPr>
            <w:r w:rsidRPr="00C3762F">
              <w:rPr>
                <w:rFonts w:ascii="Arial" w:eastAsia="Arial" w:hAnsi="Arial" w:cs="Arial"/>
                <w:i/>
                <w:sz w:val="18"/>
                <w:szCs w:val="18"/>
              </w:rPr>
              <w:t>Minuto:</w:t>
            </w:r>
            <w:r w:rsidRPr="00C3762F">
              <w:rPr>
                <w:rFonts w:ascii="Arial" w:hAnsi="Arial" w:cs="Arial"/>
                <w:sz w:val="18"/>
                <w:szCs w:val="18"/>
              </w:rPr>
              <w:t xml:space="preserve"> </w:t>
            </w:r>
            <w:r w:rsidR="008C0530">
              <w:rPr>
                <w:rFonts w:ascii="Arial" w:eastAsia="Arial" w:hAnsi="Arial" w:cs="Arial"/>
                <w:i/>
                <w:sz w:val="18"/>
                <w:szCs w:val="18"/>
              </w:rPr>
              <w:t>01</w:t>
            </w:r>
            <w:r w:rsidRPr="00C3762F">
              <w:rPr>
                <w:rFonts w:ascii="Arial" w:eastAsia="Arial" w:hAnsi="Arial" w:cs="Arial"/>
                <w:i/>
                <w:sz w:val="18"/>
                <w:szCs w:val="18"/>
              </w:rPr>
              <w:t>:</w:t>
            </w:r>
            <w:r w:rsidR="008C0530">
              <w:rPr>
                <w:rFonts w:ascii="Arial" w:eastAsia="Arial" w:hAnsi="Arial" w:cs="Arial"/>
                <w:i/>
                <w:sz w:val="18"/>
                <w:szCs w:val="18"/>
              </w:rPr>
              <w:t>06</w:t>
            </w:r>
            <w:r w:rsidRPr="00C3762F">
              <w:rPr>
                <w:rFonts w:ascii="Arial" w:eastAsia="Arial" w:hAnsi="Arial" w:cs="Arial"/>
                <w:i/>
                <w:sz w:val="18"/>
                <w:szCs w:val="18"/>
              </w:rPr>
              <w:t>:</w:t>
            </w:r>
            <w:r w:rsidR="008C0530">
              <w:rPr>
                <w:rFonts w:ascii="Arial" w:eastAsia="Arial" w:hAnsi="Arial" w:cs="Arial"/>
                <w:i/>
                <w:sz w:val="18"/>
                <w:szCs w:val="18"/>
              </w:rPr>
              <w:t>30</w:t>
            </w:r>
          </w:p>
        </w:tc>
      </w:tr>
      <w:tr w:rsidR="00847ECE" w:rsidRPr="005A1892" w14:paraId="5AF80553" w14:textId="77777777" w:rsidTr="00FB51BC">
        <w:trPr>
          <w:trHeight w:val="384"/>
        </w:trPr>
        <w:tc>
          <w:tcPr>
            <w:tcW w:w="1701" w:type="dxa"/>
            <w:shd w:val="clear" w:color="auto" w:fill="F8A2A2"/>
            <w:vAlign w:val="center"/>
          </w:tcPr>
          <w:p w14:paraId="76994416" w14:textId="2278E47B" w:rsidR="00847ECE" w:rsidRDefault="00847ECE" w:rsidP="00847ECE">
            <w:pPr>
              <w:spacing w:after="0" w:line="240" w:lineRule="auto"/>
              <w:jc w:val="center"/>
              <w:rPr>
                <w:rFonts w:ascii="Arial Narrow" w:eastAsia="Arial" w:hAnsi="Arial Narrow" w:cs="Arial"/>
                <w:i/>
                <w:sz w:val="20"/>
                <w:szCs w:val="20"/>
              </w:rPr>
            </w:pPr>
            <w:r>
              <w:rPr>
                <w:rFonts w:ascii="Arial Narrow" w:eastAsia="Arial" w:hAnsi="Arial Narrow" w:cs="Arial"/>
                <w:i/>
                <w:sz w:val="20"/>
                <w:szCs w:val="20"/>
              </w:rPr>
              <w:t>Sistematización</w:t>
            </w:r>
          </w:p>
        </w:tc>
        <w:tc>
          <w:tcPr>
            <w:tcW w:w="4536" w:type="dxa"/>
            <w:vAlign w:val="center"/>
          </w:tcPr>
          <w:p w14:paraId="12E1F8B6" w14:textId="07D576B9" w:rsidR="00847ECE" w:rsidRPr="00CB72A8" w:rsidRDefault="00847ECE" w:rsidP="00847ECE">
            <w:pPr>
              <w:spacing w:after="0" w:line="240" w:lineRule="auto"/>
              <w:jc w:val="center"/>
              <w:rPr>
                <w:rFonts w:ascii="Arial" w:eastAsia="Arial" w:hAnsi="Arial" w:cs="Arial"/>
                <w:b/>
                <w:color w:val="943634" w:themeColor="accent2" w:themeShade="BF"/>
                <w:sz w:val="24"/>
                <w:szCs w:val="24"/>
              </w:rPr>
            </w:pPr>
            <w:r>
              <w:rPr>
                <w:rFonts w:ascii="Arial" w:eastAsia="Arial" w:hAnsi="Arial" w:cs="Arial"/>
                <w:b/>
                <w:color w:val="943634" w:themeColor="accent2" w:themeShade="BF"/>
                <w:sz w:val="24"/>
                <w:szCs w:val="24"/>
              </w:rPr>
              <w:t>Procesal</w:t>
            </w:r>
          </w:p>
          <w:p w14:paraId="70D5F3D4" w14:textId="1921D6C3" w:rsidR="00847ECE" w:rsidRPr="00C3762F" w:rsidRDefault="00847ECE" w:rsidP="00847ECE">
            <w:pPr>
              <w:spacing w:after="0" w:line="240" w:lineRule="auto"/>
              <w:jc w:val="center"/>
              <w:rPr>
                <w:rFonts w:ascii="Arial" w:eastAsia="Arial" w:hAnsi="Arial" w:cs="Arial"/>
                <w:i/>
                <w:sz w:val="18"/>
                <w:szCs w:val="18"/>
              </w:rPr>
            </w:pPr>
            <w:r>
              <w:rPr>
                <w:rFonts w:ascii="Arial" w:eastAsia="Arial" w:hAnsi="Arial" w:cs="Arial"/>
                <w:i/>
                <w:sz w:val="18"/>
                <w:szCs w:val="18"/>
              </w:rPr>
              <w:t>Garantías. Elementos para su cálculo</w:t>
            </w:r>
          </w:p>
        </w:tc>
      </w:tr>
      <w:tr w:rsidR="00FB51BC" w:rsidRPr="005A1892" w14:paraId="71AFBF07" w14:textId="77777777" w:rsidTr="00FB51BC">
        <w:trPr>
          <w:trHeight w:val="384"/>
        </w:trPr>
        <w:tc>
          <w:tcPr>
            <w:tcW w:w="6237" w:type="dxa"/>
            <w:gridSpan w:val="2"/>
            <w:vAlign w:val="center"/>
          </w:tcPr>
          <w:p w14:paraId="0F41FDBC" w14:textId="77777777" w:rsidR="00FB51BC" w:rsidRPr="005A1892" w:rsidRDefault="003974C8" w:rsidP="00C3762F">
            <w:pPr>
              <w:spacing w:after="0" w:line="240" w:lineRule="auto"/>
              <w:ind w:left="369"/>
              <w:jc w:val="center"/>
              <w:rPr>
                <w:rFonts w:ascii="Arial" w:eastAsia="Arial" w:hAnsi="Arial" w:cs="Arial"/>
              </w:rPr>
            </w:pPr>
            <w:hyperlink r:id="rId9" w:history="1">
              <w:r w:rsidR="00C3762F" w:rsidRPr="00C3762F">
                <w:rPr>
                  <w:rStyle w:val="Hipervnculo"/>
                  <w:rFonts w:ascii="Arial" w:eastAsia="Arial" w:hAnsi="Arial" w:cs="Arial"/>
                  <w:b/>
                  <w:color w:val="C00000"/>
                </w:rPr>
                <w:t>Link al voto contenido en la sentencia (página 37)</w:t>
              </w:r>
            </w:hyperlink>
          </w:p>
        </w:tc>
      </w:tr>
    </w:tbl>
    <w:p w14:paraId="7E407669" w14:textId="77777777" w:rsidR="00FB51BC" w:rsidRDefault="00FB51BC">
      <w:pPr>
        <w:ind w:left="1843"/>
        <w:jc w:val="both"/>
        <w:rPr>
          <w:rFonts w:ascii="Arial" w:eastAsia="Arial" w:hAnsi="Arial" w:cs="Arial"/>
          <w:b/>
          <w:color w:val="366091"/>
          <w:sz w:val="32"/>
          <w:szCs w:val="32"/>
        </w:rPr>
      </w:pPr>
    </w:p>
    <w:p w14:paraId="0A0B988D" w14:textId="77777777" w:rsidR="00B961B9" w:rsidRDefault="005F4B9C">
      <w:pPr>
        <w:ind w:left="1843"/>
        <w:jc w:val="both"/>
        <w:rPr>
          <w:rFonts w:ascii="Arial" w:eastAsia="Arial" w:hAnsi="Arial" w:cs="Arial"/>
          <w:b/>
          <w:color w:val="366091"/>
          <w:sz w:val="32"/>
          <w:szCs w:val="32"/>
        </w:rPr>
      </w:pPr>
      <w:r>
        <w:rPr>
          <w:rFonts w:ascii="Arial" w:eastAsia="Arial" w:hAnsi="Arial" w:cs="Arial"/>
          <w:b/>
          <w:color w:val="366091"/>
          <w:sz w:val="32"/>
          <w:szCs w:val="32"/>
        </w:rPr>
        <w:t>VOTO CONCURRENTE QUE FORMULA EL MAGISTRADO JUAN JAIME GONZÁLEZ VARAS EN EL INCIDENTE EN REVISIÓN 201/2025</w:t>
      </w:r>
      <w:bookmarkStart w:id="0" w:name="_GoBack"/>
      <w:bookmarkEnd w:id="0"/>
    </w:p>
    <w:tbl>
      <w:tblPr>
        <w:tblStyle w:val="a"/>
        <w:tblW w:w="6345" w:type="dxa"/>
        <w:tblInd w:w="1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tblGrid>
      <w:tr w:rsidR="00B961B9" w14:paraId="1B76AC84" w14:textId="77777777">
        <w:trPr>
          <w:trHeight w:val="1931"/>
        </w:trPr>
        <w:tc>
          <w:tcPr>
            <w:tcW w:w="6345" w:type="dxa"/>
            <w:shd w:val="clear" w:color="auto" w:fill="DBE5F1"/>
          </w:tcPr>
          <w:p w14:paraId="79E81D2E" w14:textId="77777777" w:rsidR="00B961B9" w:rsidRDefault="005F4B9C">
            <w:pPr>
              <w:spacing w:line="360" w:lineRule="auto"/>
              <w:jc w:val="both"/>
              <w:rPr>
                <w:rFonts w:ascii="Arial" w:eastAsia="Arial" w:hAnsi="Arial" w:cs="Arial"/>
                <w:i/>
              </w:rPr>
            </w:pPr>
            <w:r>
              <w:rPr>
                <w:rFonts w:ascii="Arial" w:eastAsia="Arial" w:hAnsi="Arial" w:cs="Arial"/>
                <w:b/>
                <w:i/>
              </w:rPr>
              <w:t>Criterio del voto</w:t>
            </w:r>
            <w:r>
              <w:rPr>
                <w:rFonts w:ascii="Arial" w:eastAsia="Arial" w:hAnsi="Arial" w:cs="Arial"/>
                <w:i/>
              </w:rPr>
              <w:t>: Cuando se impugna alguno de los elementos que integran la metodología para fijar la garantía, el resultado es revisable en su totalidad aun cuando no se hayan esbozado argumentos en contra de cada uno de ellos, pues los componentes están interrelacionados y sólo tienen sentido al ser valorados de manera integral.</w:t>
            </w:r>
          </w:p>
          <w:p w14:paraId="58B4643F" w14:textId="77777777" w:rsidR="00B961B9" w:rsidRDefault="005F4B9C">
            <w:pPr>
              <w:spacing w:line="360" w:lineRule="auto"/>
              <w:jc w:val="center"/>
              <w:rPr>
                <w:rFonts w:ascii="Arial" w:eastAsia="Arial" w:hAnsi="Arial" w:cs="Arial"/>
                <w:b/>
                <w:i/>
                <w:sz w:val="26"/>
                <w:szCs w:val="26"/>
                <w:highlight w:val="yellow"/>
              </w:rPr>
            </w:pPr>
            <w:bookmarkStart w:id="1" w:name="_heading=h.lbl2myty8mqi" w:colFirst="0" w:colLast="0"/>
            <w:bookmarkEnd w:id="1"/>
            <w:r>
              <w:rPr>
                <w:rFonts w:ascii="Arial" w:eastAsia="Arial" w:hAnsi="Arial" w:cs="Arial"/>
                <w:b/>
                <w:i/>
              </w:rPr>
              <w:t>Video de la sesión: [</w:t>
            </w:r>
            <w:hyperlink r:id="rId10">
              <w:r>
                <w:rPr>
                  <w:rFonts w:ascii="Times New Roman" w:eastAsia="Times New Roman" w:hAnsi="Times New Roman" w:cs="Times New Roman"/>
                  <w:color w:val="0000FF"/>
                  <w:u w:val="single"/>
                </w:rPr>
                <w:t>Órgano de Administración Judicial</w:t>
              </w:r>
            </w:hyperlink>
            <w:r>
              <w:rPr>
                <w:rFonts w:ascii="Arial" w:eastAsia="Arial" w:hAnsi="Arial" w:cs="Arial"/>
                <w:b/>
                <w:i/>
              </w:rPr>
              <w:t>]</w:t>
            </w:r>
          </w:p>
        </w:tc>
      </w:tr>
    </w:tbl>
    <w:p w14:paraId="32C4FF73" w14:textId="77777777" w:rsidR="00B961B9" w:rsidRDefault="00B961B9">
      <w:pPr>
        <w:spacing w:line="360" w:lineRule="auto"/>
        <w:jc w:val="both"/>
        <w:rPr>
          <w:rFonts w:ascii="Arial" w:eastAsia="Arial" w:hAnsi="Arial" w:cs="Arial"/>
          <w:color w:val="000000"/>
          <w:sz w:val="26"/>
          <w:szCs w:val="26"/>
        </w:rPr>
      </w:pPr>
    </w:p>
    <w:p w14:paraId="4A889ACB" w14:textId="77777777" w:rsidR="00B961B9" w:rsidRDefault="005F4B9C">
      <w:pPr>
        <w:spacing w:line="360" w:lineRule="auto"/>
        <w:jc w:val="both"/>
        <w:rPr>
          <w:rFonts w:ascii="Arial" w:eastAsia="Arial" w:hAnsi="Arial" w:cs="Arial"/>
          <w:color w:val="000000"/>
          <w:sz w:val="26"/>
          <w:szCs w:val="26"/>
        </w:rPr>
      </w:pPr>
      <w:r>
        <w:rPr>
          <w:rFonts w:ascii="Arial" w:eastAsia="Arial" w:hAnsi="Arial" w:cs="Arial"/>
          <w:color w:val="000000"/>
          <w:sz w:val="26"/>
          <w:szCs w:val="26"/>
        </w:rPr>
        <w:t xml:space="preserve">En sesión de </w:t>
      </w:r>
      <w:r>
        <w:rPr>
          <w:rFonts w:ascii="Arial" w:eastAsia="Arial" w:hAnsi="Arial" w:cs="Arial"/>
          <w:sz w:val="26"/>
          <w:szCs w:val="26"/>
        </w:rPr>
        <w:t xml:space="preserve">quince </w:t>
      </w:r>
      <w:r>
        <w:rPr>
          <w:rFonts w:ascii="Arial" w:eastAsia="Arial" w:hAnsi="Arial" w:cs="Arial"/>
          <w:color w:val="000000"/>
          <w:sz w:val="26"/>
          <w:szCs w:val="26"/>
        </w:rPr>
        <w:t xml:space="preserve">de octubre de dos mil veinticinco, el Décimo Tribunal Colegiado en Materia Civil del Primer Circuito resolvió, por unanimidad, </w:t>
      </w:r>
      <w:r>
        <w:rPr>
          <w:rFonts w:ascii="Arial" w:eastAsia="Arial" w:hAnsi="Arial" w:cs="Arial"/>
          <w:sz w:val="26"/>
          <w:szCs w:val="26"/>
        </w:rPr>
        <w:t xml:space="preserve">modificar la interlocutoria dictada en audiencia incidental de veintiocho de mayo de dos mil veinticinco, por el Juez Décimo Primero de Distrito en Materia Civil en la Ciudad de México, en el incidente de suspensión derivado del juicio de amparo indirecto 622/2025. </w:t>
      </w:r>
    </w:p>
    <w:p w14:paraId="75A74A8A" w14:textId="77777777" w:rsidR="00B961B9" w:rsidRDefault="00B961B9">
      <w:pPr>
        <w:spacing w:line="360" w:lineRule="auto"/>
        <w:jc w:val="both"/>
        <w:rPr>
          <w:rFonts w:ascii="Arial" w:eastAsia="Arial" w:hAnsi="Arial" w:cs="Arial"/>
          <w:color w:val="000000"/>
          <w:sz w:val="26"/>
          <w:szCs w:val="26"/>
        </w:rPr>
      </w:pPr>
    </w:p>
    <w:p w14:paraId="2DE38672" w14:textId="77777777" w:rsidR="00B961B9" w:rsidRDefault="005F4B9C">
      <w:pPr>
        <w:spacing w:line="360" w:lineRule="auto"/>
        <w:jc w:val="both"/>
        <w:rPr>
          <w:rFonts w:ascii="Arial" w:eastAsia="Arial" w:hAnsi="Arial" w:cs="Arial"/>
          <w:b/>
          <w:color w:val="366091"/>
          <w:sz w:val="26"/>
          <w:szCs w:val="26"/>
        </w:rPr>
      </w:pPr>
      <w:r>
        <w:rPr>
          <w:rFonts w:ascii="Arial" w:eastAsia="Arial" w:hAnsi="Arial" w:cs="Arial"/>
          <w:b/>
          <w:color w:val="366091"/>
          <w:sz w:val="26"/>
          <w:szCs w:val="26"/>
        </w:rPr>
        <w:t xml:space="preserve">I. </w:t>
      </w:r>
      <w:r>
        <w:rPr>
          <w:rFonts w:ascii="Arial" w:eastAsia="Arial" w:hAnsi="Arial" w:cs="Arial"/>
          <w:b/>
          <w:color w:val="366091"/>
          <w:sz w:val="30"/>
          <w:szCs w:val="30"/>
        </w:rPr>
        <w:t>Planteamiento del problema</w:t>
      </w:r>
    </w:p>
    <w:p w14:paraId="0CA99610" w14:textId="77777777" w:rsidR="00B961B9" w:rsidRDefault="005F4B9C">
      <w:pPr>
        <w:spacing w:line="360" w:lineRule="auto"/>
        <w:jc w:val="both"/>
        <w:rPr>
          <w:rFonts w:ascii="Arial" w:eastAsia="Arial" w:hAnsi="Arial" w:cs="Arial"/>
          <w:color w:val="000000"/>
          <w:sz w:val="26"/>
          <w:szCs w:val="26"/>
        </w:rPr>
      </w:pPr>
      <w:r>
        <w:rPr>
          <w:rFonts w:ascii="Arial" w:eastAsia="Arial" w:hAnsi="Arial" w:cs="Arial"/>
          <w:color w:val="000000"/>
          <w:sz w:val="26"/>
          <w:szCs w:val="26"/>
        </w:rPr>
        <w:t xml:space="preserve">El caso gira en torno a la metodología que debe emplearse para determinar el monto de una garantía en la suspensión en amparo y sus posibilidades de impugnación. La parte quejosa </w:t>
      </w:r>
      <w:r>
        <w:rPr>
          <w:rFonts w:ascii="Arial" w:eastAsia="Arial" w:hAnsi="Arial" w:cs="Arial"/>
          <w:sz w:val="26"/>
          <w:szCs w:val="26"/>
        </w:rPr>
        <w:t>cuestiona</w:t>
      </w:r>
      <w:r>
        <w:rPr>
          <w:rFonts w:ascii="Arial" w:eastAsia="Arial" w:hAnsi="Arial" w:cs="Arial"/>
          <w:color w:val="000000"/>
          <w:sz w:val="26"/>
          <w:szCs w:val="26"/>
        </w:rPr>
        <w:t xml:space="preserve"> en los agravios la proporcionalidad del monto </w:t>
      </w:r>
      <w:r>
        <w:rPr>
          <w:rFonts w:ascii="Arial" w:eastAsia="Arial" w:hAnsi="Arial" w:cs="Arial"/>
          <w:sz w:val="26"/>
          <w:szCs w:val="26"/>
        </w:rPr>
        <w:t>fijado</w:t>
      </w:r>
      <w:r>
        <w:rPr>
          <w:rFonts w:ascii="Arial" w:eastAsia="Arial" w:hAnsi="Arial" w:cs="Arial"/>
          <w:color w:val="000000"/>
          <w:sz w:val="26"/>
          <w:szCs w:val="26"/>
        </w:rPr>
        <w:t xml:space="preserve">. La parte recurrente sólo </w:t>
      </w:r>
      <w:r>
        <w:rPr>
          <w:rFonts w:ascii="Arial" w:eastAsia="Arial" w:hAnsi="Arial" w:cs="Arial"/>
          <w:color w:val="000000"/>
          <w:sz w:val="26"/>
          <w:szCs w:val="26"/>
        </w:rPr>
        <w:lastRenderedPageBreak/>
        <w:t xml:space="preserve">se </w:t>
      </w:r>
      <w:r>
        <w:rPr>
          <w:rFonts w:ascii="Arial" w:eastAsia="Arial" w:hAnsi="Arial" w:cs="Arial"/>
          <w:sz w:val="26"/>
          <w:szCs w:val="26"/>
        </w:rPr>
        <w:t>inconformó</w:t>
      </w:r>
      <w:r>
        <w:rPr>
          <w:rFonts w:ascii="Arial" w:eastAsia="Arial" w:hAnsi="Arial" w:cs="Arial"/>
          <w:color w:val="000000"/>
          <w:sz w:val="26"/>
          <w:szCs w:val="26"/>
        </w:rPr>
        <w:t xml:space="preserve"> de algunos de los elementos empleados para el cálculo del monto, pero no de todos, en particular, del tiempo estimado de duración del juicio. La mayoría sostuvo que la duración del juicio no fue impugnada y, en consecuencia, que ese componente debía tenerse por firme, limitando el estudio a los demás factores. </w:t>
      </w:r>
    </w:p>
    <w:p w14:paraId="60EEA4B3" w14:textId="77777777" w:rsidR="00B961B9" w:rsidRDefault="005F4B9C">
      <w:pPr>
        <w:spacing w:line="360" w:lineRule="auto"/>
        <w:jc w:val="both"/>
        <w:rPr>
          <w:rFonts w:ascii="Arial" w:eastAsia="Arial" w:hAnsi="Arial" w:cs="Arial"/>
          <w:color w:val="000000"/>
          <w:sz w:val="26"/>
          <w:szCs w:val="26"/>
        </w:rPr>
      </w:pPr>
      <w:r>
        <w:rPr>
          <w:rFonts w:ascii="Arial" w:eastAsia="Arial" w:hAnsi="Arial" w:cs="Arial"/>
          <w:color w:val="000000"/>
          <w:sz w:val="26"/>
          <w:szCs w:val="26"/>
        </w:rPr>
        <w:t>Compartí el sentido de la resolución en lo general porque se modificó el monto de la garantí</w:t>
      </w:r>
      <w:r>
        <w:rPr>
          <w:rFonts w:ascii="Arial" w:eastAsia="Arial" w:hAnsi="Arial" w:cs="Arial"/>
          <w:sz w:val="26"/>
          <w:szCs w:val="26"/>
        </w:rPr>
        <w:t xml:space="preserve">a </w:t>
      </w:r>
      <w:r>
        <w:rPr>
          <w:rFonts w:ascii="Arial" w:eastAsia="Arial" w:hAnsi="Arial" w:cs="Arial"/>
          <w:color w:val="000000"/>
          <w:sz w:val="26"/>
          <w:szCs w:val="26"/>
        </w:rPr>
        <w:t>a una apreciación proporcional. Sin embargo, desde mi perspectiva, el enfoque de declarar intocable un elemento de una fórmula para el cálculo de garantías fragmenta la decisión. La metodología que habitualmente se emplea para calcular la garantía combina distintos elementos —naturaleza del bien, rentas, tiempo y referencia económica— que no operan por separado.</w:t>
      </w:r>
    </w:p>
    <w:p w14:paraId="3E314C68" w14:textId="77777777" w:rsidR="00B961B9" w:rsidRDefault="005F4B9C">
      <w:pPr>
        <w:spacing w:line="360" w:lineRule="auto"/>
        <w:jc w:val="both"/>
        <w:rPr>
          <w:rFonts w:ascii="Arial" w:eastAsia="Arial" w:hAnsi="Arial" w:cs="Arial"/>
          <w:color w:val="000000"/>
          <w:sz w:val="26"/>
          <w:szCs w:val="26"/>
        </w:rPr>
      </w:pPr>
      <w:r>
        <w:rPr>
          <w:rFonts w:ascii="Arial" w:eastAsia="Arial" w:hAnsi="Arial" w:cs="Arial"/>
          <w:color w:val="000000"/>
          <w:sz w:val="26"/>
          <w:szCs w:val="26"/>
        </w:rPr>
        <w:t>Por ello, si uno de esos componentes se cuestiona, el resultado completo (y sus elementos) se vuelve revisable, pues depende de la interacción de todos los factores. Aceptar que algunos son inmutables mientras otros se analizan de nuevo rompe la lógica interna del método y puede conducir a una decisión formalmente correcta, pero materialmente incongruente.</w:t>
      </w:r>
    </w:p>
    <w:p w14:paraId="044D0268" w14:textId="77777777" w:rsidR="00B961B9" w:rsidRDefault="00B961B9">
      <w:pPr>
        <w:spacing w:line="360" w:lineRule="auto"/>
        <w:jc w:val="both"/>
        <w:rPr>
          <w:rFonts w:ascii="Arial" w:eastAsia="Arial" w:hAnsi="Arial" w:cs="Arial"/>
          <w:color w:val="000000"/>
          <w:sz w:val="26"/>
          <w:szCs w:val="26"/>
        </w:rPr>
      </w:pPr>
    </w:p>
    <w:p w14:paraId="19621458" w14:textId="77777777" w:rsidR="00B961B9" w:rsidRDefault="005F4B9C">
      <w:pPr>
        <w:spacing w:line="360" w:lineRule="auto"/>
        <w:jc w:val="both"/>
        <w:rPr>
          <w:rFonts w:ascii="Arial" w:eastAsia="Arial" w:hAnsi="Arial" w:cs="Arial"/>
          <w:b/>
          <w:color w:val="000000"/>
          <w:sz w:val="30"/>
          <w:szCs w:val="30"/>
        </w:rPr>
      </w:pPr>
      <w:r>
        <w:rPr>
          <w:rFonts w:ascii="Arial" w:eastAsia="Arial" w:hAnsi="Arial" w:cs="Arial"/>
          <w:b/>
          <w:color w:val="366091"/>
          <w:sz w:val="30"/>
          <w:szCs w:val="30"/>
        </w:rPr>
        <w:t>II. Razones de mi concurrencia</w:t>
      </w:r>
    </w:p>
    <w:p w14:paraId="62B32F29" w14:textId="77777777" w:rsidR="00B961B9" w:rsidRDefault="005F4B9C">
      <w:pPr>
        <w:spacing w:line="360" w:lineRule="auto"/>
        <w:jc w:val="both"/>
        <w:rPr>
          <w:rFonts w:ascii="Arial" w:eastAsia="Arial" w:hAnsi="Arial" w:cs="Arial"/>
          <w:color w:val="000000"/>
          <w:sz w:val="26"/>
          <w:szCs w:val="26"/>
        </w:rPr>
      </w:pPr>
      <w:r>
        <w:rPr>
          <w:rFonts w:ascii="Arial" w:eastAsia="Arial" w:hAnsi="Arial" w:cs="Arial"/>
          <w:color w:val="000000"/>
          <w:sz w:val="26"/>
          <w:szCs w:val="26"/>
        </w:rPr>
        <w:t xml:space="preserve">Analizar el presente asunto desde la </w:t>
      </w:r>
      <w:proofErr w:type="spellStart"/>
      <w:r>
        <w:rPr>
          <w:rFonts w:ascii="Arial" w:eastAsia="Arial" w:hAnsi="Arial" w:cs="Arial"/>
          <w:color w:val="000000"/>
          <w:sz w:val="26"/>
          <w:szCs w:val="26"/>
        </w:rPr>
        <w:t>jurimetría</w:t>
      </w:r>
      <w:proofErr w:type="spellEnd"/>
      <w:r>
        <w:rPr>
          <w:rFonts w:ascii="Arial" w:eastAsia="Arial" w:hAnsi="Arial" w:cs="Arial"/>
          <w:color w:val="000000"/>
          <w:sz w:val="26"/>
          <w:szCs w:val="26"/>
        </w:rPr>
        <w:t xml:space="preserve"> nos lleva a concluir que la cuantificación opera como una función que recibe ciertos insumos (la naturaleza del bien, la renta asociada, el horizonte temporal y las referencias económicas) y entrega un único valor de salida. En un modelo así, ningún insumo es neutral, pues al modificarse uno, cambia la salida. Por eso, cuando la parte impugna alguno de los elementos sustantivos, la respuesta no puede ser conservar inmutable el resto como si fueran independientes. El método exige recalcular el conjunto.</w:t>
      </w:r>
    </w:p>
    <w:p w14:paraId="0F2524C5" w14:textId="77777777" w:rsidR="00B961B9" w:rsidRDefault="005F4B9C">
      <w:pPr>
        <w:spacing w:line="360" w:lineRule="auto"/>
        <w:jc w:val="both"/>
        <w:rPr>
          <w:rFonts w:ascii="Arial" w:eastAsia="Arial" w:hAnsi="Arial" w:cs="Arial"/>
          <w:color w:val="000000"/>
          <w:sz w:val="26"/>
          <w:szCs w:val="26"/>
        </w:rPr>
      </w:pPr>
      <w:r>
        <w:rPr>
          <w:rFonts w:ascii="Arial" w:eastAsia="Arial" w:hAnsi="Arial" w:cs="Arial"/>
          <w:color w:val="000000"/>
          <w:sz w:val="26"/>
          <w:szCs w:val="26"/>
        </w:rPr>
        <w:t xml:space="preserve">En términos algorítmicos, el tribunal no valida variables aisladas, valida el procedimiento que combina esas variables. Si un insumo de entrada se cuestiona con base en datos verificables, por ejemplo, el que da contenido económico al bien, el sistema ya no satisface la misma condición de entrada que justificó el resultado original. Un algoritmo que se </w:t>
      </w:r>
      <w:proofErr w:type="spellStart"/>
      <w:r>
        <w:rPr>
          <w:rFonts w:ascii="Arial" w:eastAsia="Arial" w:hAnsi="Arial" w:cs="Arial"/>
          <w:color w:val="000000"/>
          <w:sz w:val="26"/>
          <w:szCs w:val="26"/>
        </w:rPr>
        <w:t>reejecuta</w:t>
      </w:r>
      <w:proofErr w:type="spellEnd"/>
      <w:r>
        <w:rPr>
          <w:rFonts w:ascii="Arial" w:eastAsia="Arial" w:hAnsi="Arial" w:cs="Arial"/>
          <w:color w:val="000000"/>
          <w:sz w:val="26"/>
          <w:szCs w:val="26"/>
        </w:rPr>
        <w:t xml:space="preserve"> con parámetros distintos no puede producirse a partir </w:t>
      </w:r>
      <w:r>
        <w:rPr>
          <w:rFonts w:ascii="Arial" w:eastAsia="Arial" w:hAnsi="Arial" w:cs="Arial"/>
          <w:color w:val="000000"/>
          <w:sz w:val="26"/>
          <w:szCs w:val="26"/>
        </w:rPr>
        <w:lastRenderedPageBreak/>
        <w:t xml:space="preserve">de fragmentos ya “firmes”; debe correrse de nuevo con los parámetros corregidos. </w:t>
      </w:r>
      <w:r>
        <w:rPr>
          <w:rFonts w:ascii="Arial" w:eastAsia="Arial" w:hAnsi="Arial" w:cs="Arial"/>
          <w:b/>
          <w:color w:val="000000"/>
          <w:sz w:val="26"/>
          <w:szCs w:val="26"/>
        </w:rPr>
        <w:t>Donde particularmente el tiempo, en este caso es, por su propia naturaleza, una variable dinámica</w:t>
      </w:r>
      <w:r>
        <w:rPr>
          <w:rFonts w:ascii="Arial" w:eastAsia="Arial" w:hAnsi="Arial" w:cs="Arial"/>
          <w:color w:val="000000"/>
          <w:sz w:val="26"/>
          <w:szCs w:val="26"/>
        </w:rPr>
        <w:t xml:space="preserve">. </w:t>
      </w:r>
    </w:p>
    <w:p w14:paraId="1F004A1F" w14:textId="77777777" w:rsidR="00B961B9" w:rsidRDefault="005F4B9C">
      <w:pPr>
        <w:spacing w:line="360" w:lineRule="auto"/>
        <w:jc w:val="both"/>
        <w:rPr>
          <w:rFonts w:ascii="Arial" w:eastAsia="Arial" w:hAnsi="Arial" w:cs="Arial"/>
          <w:color w:val="000000"/>
          <w:sz w:val="26"/>
          <w:szCs w:val="26"/>
        </w:rPr>
      </w:pPr>
      <w:r>
        <w:rPr>
          <w:rFonts w:ascii="Arial" w:eastAsia="Arial" w:hAnsi="Arial" w:cs="Arial"/>
          <w:color w:val="000000"/>
          <w:sz w:val="26"/>
          <w:szCs w:val="26"/>
        </w:rPr>
        <w:t xml:space="preserve">Por estas razones, acompañé el sentido de la decisión, pero me aparto de haber declarado la firmeza del lapso de tiempo para fallar el juicio como un elemento destacado de la fórmula para el cálculo de la garantía. </w:t>
      </w:r>
    </w:p>
    <w:p w14:paraId="692855B6" w14:textId="77777777" w:rsidR="00B961B9" w:rsidRDefault="005F4B9C">
      <w:pPr>
        <w:spacing w:after="160" w:line="360" w:lineRule="auto"/>
        <w:jc w:val="center"/>
        <w:rPr>
          <w:rFonts w:ascii="Arial" w:eastAsia="Arial" w:hAnsi="Arial" w:cs="Arial"/>
          <w:sz w:val="28"/>
          <w:szCs w:val="28"/>
        </w:rPr>
      </w:pPr>
      <w:bookmarkStart w:id="2" w:name="_heading=h.430t3livm8qv" w:colFirst="0" w:colLast="0"/>
      <w:bookmarkEnd w:id="2"/>
      <w:r>
        <w:rPr>
          <w:rFonts w:ascii="Arial" w:eastAsia="Arial" w:hAnsi="Arial" w:cs="Arial"/>
          <w:b/>
          <w:color w:val="000000"/>
          <w:sz w:val="26"/>
          <w:szCs w:val="26"/>
        </w:rPr>
        <w:t>MAGISTRADO JUAN JAIME GONZÁLEZ VARAS</w:t>
      </w:r>
    </w:p>
    <w:sectPr w:rsidR="00B961B9">
      <w:headerReference w:type="even" r:id="rId11"/>
      <w:headerReference w:type="default" r:id="rId12"/>
      <w:footerReference w:type="first" r:id="rId13"/>
      <w:pgSz w:w="12242" w:h="19301"/>
      <w:pgMar w:top="1701" w:right="851" w:bottom="851" w:left="3119" w:header="1134"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15A442" w14:textId="77777777" w:rsidR="003974C8" w:rsidRDefault="003974C8">
      <w:pPr>
        <w:spacing w:after="0" w:line="240" w:lineRule="auto"/>
      </w:pPr>
      <w:r>
        <w:separator/>
      </w:r>
    </w:p>
  </w:endnote>
  <w:endnote w:type="continuationSeparator" w:id="0">
    <w:p w14:paraId="58336E49" w14:textId="77777777" w:rsidR="003974C8" w:rsidRDefault="00397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embedRegular r:id="rId1" w:fontKey="{8E0347B3-AEA7-4153-8B02-25BCD691404F}"/>
    <w:embedBold r:id="rId2" w:fontKey="{95F18A96-F0DD-470C-819C-3A81808D58E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27E68BCC-00E1-4DBF-953F-3ED0E14CD5B2}"/>
  </w:font>
  <w:font w:name="Georgia">
    <w:panose1 w:val="02040502050405020303"/>
    <w:charset w:val="00"/>
    <w:family w:val="roman"/>
    <w:pitch w:val="variable"/>
    <w:sig w:usb0="00000287" w:usb1="00000000" w:usb2="00000000" w:usb3="00000000" w:csb0="0000009F" w:csb1="00000000"/>
    <w:embedRegular r:id="rId4" w:fontKey="{914F41EA-B86B-4A8B-98C5-C02D8440A928}"/>
    <w:embedItalic r:id="rId5" w:fontKey="{BD4F6382-2B3D-4B37-BF48-3C6F2AAFC4DA}"/>
  </w:font>
  <w:font w:name="Arial Narrow">
    <w:panose1 w:val="020B0606020202030204"/>
    <w:charset w:val="00"/>
    <w:family w:val="swiss"/>
    <w:pitch w:val="variable"/>
    <w:sig w:usb0="00000287" w:usb1="00000800" w:usb2="00000000" w:usb3="00000000" w:csb0="0000009F" w:csb1="00000000"/>
    <w:embedItalic r:id="rId6" w:fontKey="{ABF9EAED-9082-4495-9232-D50E73F18657}"/>
  </w:font>
  <w:font w:name="Cambria">
    <w:panose1 w:val="02040503050406030204"/>
    <w:charset w:val="00"/>
    <w:family w:val="roman"/>
    <w:pitch w:val="variable"/>
    <w:sig w:usb0="E00006FF" w:usb1="420024FF" w:usb2="02000000" w:usb3="00000000" w:csb0="0000019F" w:csb1="00000000"/>
    <w:embedRegular r:id="rId7" w:fontKey="{4E10D258-971A-4347-8A97-19CF6988CF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E47F4" w14:textId="77777777" w:rsidR="00B961B9" w:rsidRDefault="00B961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26885C" w14:textId="77777777" w:rsidR="003974C8" w:rsidRDefault="003974C8">
      <w:pPr>
        <w:spacing w:after="0" w:line="240" w:lineRule="auto"/>
      </w:pPr>
      <w:r>
        <w:separator/>
      </w:r>
    </w:p>
  </w:footnote>
  <w:footnote w:type="continuationSeparator" w:id="0">
    <w:p w14:paraId="78BA94BB" w14:textId="77777777" w:rsidR="003974C8" w:rsidRDefault="003974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02FFF" w14:textId="77777777" w:rsidR="00B961B9" w:rsidRDefault="005F4B9C">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color w:val="000000"/>
        <w:sz w:val="32"/>
        <w:szCs w:val="32"/>
      </w:rPr>
      <w:fldChar w:fldCharType="begin"/>
    </w:r>
    <w:r>
      <w:rPr>
        <w:rFonts w:ascii="Times New Roman" w:eastAsia="Times New Roman" w:hAnsi="Times New Roman" w:cs="Times New Roman"/>
        <w:color w:val="000000"/>
        <w:sz w:val="32"/>
        <w:szCs w:val="32"/>
      </w:rPr>
      <w:instrText>PAGE</w:instrText>
    </w:r>
    <w:r>
      <w:rPr>
        <w:rFonts w:ascii="Times New Roman" w:eastAsia="Times New Roman" w:hAnsi="Times New Roman" w:cs="Times New Roman"/>
        <w:color w:val="000000"/>
        <w:sz w:val="32"/>
        <w:szCs w:val="32"/>
      </w:rPr>
      <w:fldChar w:fldCharType="separate"/>
    </w:r>
    <w:r w:rsidR="00847ECE">
      <w:rPr>
        <w:rFonts w:ascii="Times New Roman" w:eastAsia="Times New Roman" w:hAnsi="Times New Roman" w:cs="Times New Roman"/>
        <w:noProof/>
        <w:color w:val="000000"/>
        <w:sz w:val="32"/>
        <w:szCs w:val="32"/>
      </w:rPr>
      <w:t>2</w:t>
    </w:r>
    <w:r>
      <w:rPr>
        <w:rFonts w:ascii="Times New Roman" w:eastAsia="Times New Roman" w:hAnsi="Times New Roman" w:cs="Times New Roman"/>
        <w:color w:val="000000"/>
        <w:sz w:val="32"/>
        <w:szCs w:val="32"/>
      </w:rPr>
      <w:fldChar w:fldCharType="end"/>
    </w:r>
    <w:r>
      <w:rPr>
        <w:rFonts w:ascii="Times New Roman" w:eastAsia="Times New Roman" w:hAnsi="Times New Roman" w:cs="Times New Roman"/>
        <w:color w:val="000000"/>
        <w:sz w:val="32"/>
        <w:szCs w:val="32"/>
      </w:rPr>
      <w:t xml:space="preserve">                          I.R. </w:t>
    </w:r>
    <w:r>
      <w:rPr>
        <w:rFonts w:ascii="Times New Roman" w:eastAsia="Times New Roman" w:hAnsi="Times New Roman" w:cs="Times New Roman"/>
        <w:sz w:val="32"/>
        <w:szCs w:val="32"/>
      </w:rPr>
      <w:t>201</w:t>
    </w:r>
    <w:r>
      <w:rPr>
        <w:rFonts w:ascii="Times New Roman" w:eastAsia="Times New Roman" w:hAnsi="Times New Roman" w:cs="Times New Roman"/>
        <w:color w:val="000000"/>
        <w:sz w:val="32"/>
        <w:szCs w:val="32"/>
      </w:rPr>
      <w:t>/2025</w:t>
    </w:r>
  </w:p>
  <w:p w14:paraId="4C9E43C5" w14:textId="77777777" w:rsidR="00B961B9" w:rsidRDefault="00B961B9">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78048" w14:textId="77777777" w:rsidR="00B961B9" w:rsidRDefault="00B961B9">
    <w:pPr>
      <w:pBdr>
        <w:top w:val="nil"/>
        <w:left w:val="nil"/>
        <w:bottom w:val="nil"/>
        <w:right w:val="nil"/>
        <w:between w:val="nil"/>
      </w:pBdr>
      <w:tabs>
        <w:tab w:val="center" w:pos="4419"/>
        <w:tab w:val="right" w:pos="8838"/>
      </w:tabs>
      <w:spacing w:after="0" w:line="240" w:lineRule="auto"/>
      <w:rPr>
        <w:color w:val="000000"/>
      </w:rPr>
    </w:pPr>
  </w:p>
  <w:p w14:paraId="4091184F" w14:textId="77777777" w:rsidR="00B961B9" w:rsidRDefault="005F4B9C">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color w:val="000000"/>
        <w:sz w:val="32"/>
        <w:szCs w:val="32"/>
      </w:rPr>
      <w:fldChar w:fldCharType="begin"/>
    </w:r>
    <w:r>
      <w:rPr>
        <w:rFonts w:ascii="Times New Roman" w:eastAsia="Times New Roman" w:hAnsi="Times New Roman" w:cs="Times New Roman"/>
        <w:color w:val="000000"/>
        <w:sz w:val="32"/>
        <w:szCs w:val="32"/>
      </w:rPr>
      <w:instrText>PAGE</w:instrText>
    </w:r>
    <w:r>
      <w:rPr>
        <w:rFonts w:ascii="Times New Roman" w:eastAsia="Times New Roman" w:hAnsi="Times New Roman" w:cs="Times New Roman"/>
        <w:color w:val="000000"/>
        <w:sz w:val="32"/>
        <w:szCs w:val="32"/>
      </w:rPr>
      <w:fldChar w:fldCharType="separate"/>
    </w:r>
    <w:r w:rsidR="00847ECE">
      <w:rPr>
        <w:rFonts w:ascii="Times New Roman" w:eastAsia="Times New Roman" w:hAnsi="Times New Roman" w:cs="Times New Roman"/>
        <w:noProof/>
        <w:color w:val="000000"/>
        <w:sz w:val="32"/>
        <w:szCs w:val="32"/>
      </w:rPr>
      <w:t>3</w:t>
    </w:r>
    <w:r>
      <w:rPr>
        <w:rFonts w:ascii="Times New Roman" w:eastAsia="Times New Roman" w:hAnsi="Times New Roman" w:cs="Times New Roman"/>
        <w:color w:val="000000"/>
        <w:sz w:val="32"/>
        <w:szCs w:val="32"/>
      </w:rPr>
      <w:fldChar w:fldCharType="end"/>
    </w:r>
    <w:r>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sz w:val="32"/>
        <w:szCs w:val="32"/>
      </w:rPr>
      <w:t>I.R.</w:t>
    </w:r>
    <w:r>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sz w:val="32"/>
        <w:szCs w:val="32"/>
      </w:rPr>
      <w:t>201</w:t>
    </w:r>
    <w:r>
      <w:rPr>
        <w:rFonts w:ascii="Times New Roman" w:eastAsia="Times New Roman" w:hAnsi="Times New Roman" w:cs="Times New Roman"/>
        <w:color w:val="000000"/>
        <w:sz w:val="32"/>
        <w:szCs w:val="32"/>
      </w:rPr>
      <w:t>/2025</w:t>
    </w:r>
  </w:p>
  <w:p w14:paraId="195E537C" w14:textId="77777777" w:rsidR="00B961B9" w:rsidRDefault="00B961B9">
    <w:pPr>
      <w:pBdr>
        <w:top w:val="nil"/>
        <w:left w:val="nil"/>
        <w:bottom w:val="nil"/>
        <w:right w:val="nil"/>
        <w:between w:val="nil"/>
      </w:pBdr>
      <w:tabs>
        <w:tab w:val="center" w:pos="4419"/>
        <w:tab w:val="right" w:pos="88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B961B9"/>
    <w:rsid w:val="00302674"/>
    <w:rsid w:val="003974C8"/>
    <w:rsid w:val="005F4B9C"/>
    <w:rsid w:val="00686C42"/>
    <w:rsid w:val="00847ECE"/>
    <w:rsid w:val="008C0530"/>
    <w:rsid w:val="00B961B9"/>
    <w:rsid w:val="00C3762F"/>
    <w:rsid w:val="00DC1CAB"/>
    <w:rsid w:val="00FB51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67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CC4F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4F40"/>
  </w:style>
  <w:style w:type="paragraph" w:styleId="Piedepgina">
    <w:name w:val="footer"/>
    <w:basedOn w:val="Normal"/>
    <w:link w:val="PiedepginaCar"/>
    <w:uiPriority w:val="99"/>
    <w:unhideWhenUsed/>
    <w:rsid w:val="00CC4F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4F40"/>
  </w:style>
  <w:style w:type="paragraph" w:styleId="Textoindependiente2">
    <w:name w:val="Body Text 2"/>
    <w:basedOn w:val="Normal"/>
    <w:link w:val="Textoindependiente2Car"/>
    <w:rsid w:val="00E913D4"/>
    <w:pPr>
      <w:spacing w:after="0" w:line="240" w:lineRule="auto"/>
      <w:jc w:val="center"/>
    </w:pPr>
    <w:rPr>
      <w:rFonts w:ascii="Arial" w:eastAsia="Times New Roman" w:hAnsi="Arial" w:cs="Times New Roman"/>
      <w:sz w:val="28"/>
      <w:szCs w:val="20"/>
      <w:lang w:val="es-ES" w:eastAsia="es-ES"/>
    </w:rPr>
  </w:style>
  <w:style w:type="character" w:customStyle="1" w:styleId="Textoindependiente2Car">
    <w:name w:val="Texto independiente 2 Car"/>
    <w:basedOn w:val="Fuentedeprrafopredeter"/>
    <w:link w:val="Textoindependiente2"/>
    <w:rsid w:val="00E913D4"/>
    <w:rPr>
      <w:rFonts w:ascii="Arial" w:eastAsia="Times New Roman" w:hAnsi="Arial" w:cs="Times New Roman"/>
      <w:sz w:val="28"/>
      <w:szCs w:val="20"/>
      <w:lang w:val="es-ES" w:eastAsia="es-ES"/>
    </w:rPr>
  </w:style>
  <w:style w:type="character" w:styleId="Hipervnculo">
    <w:name w:val="Hyperlink"/>
    <w:basedOn w:val="Fuentedeprrafopredeter"/>
    <w:uiPriority w:val="99"/>
    <w:unhideWhenUsed/>
    <w:rsid w:val="00E913D4"/>
    <w:rPr>
      <w:rFonts w:ascii="Times New Roman" w:hAnsi="Times New Roman" w:cs="Times New Roman" w:hint="default"/>
      <w:color w:val="0000FF" w:themeColor="hyperlink"/>
      <w:u w:val="single"/>
    </w:rPr>
  </w:style>
  <w:style w:type="paragraph" w:styleId="Textodeglobo">
    <w:name w:val="Balloon Text"/>
    <w:basedOn w:val="Normal"/>
    <w:link w:val="TextodegloboCar"/>
    <w:uiPriority w:val="99"/>
    <w:semiHidden/>
    <w:unhideWhenUsed/>
    <w:rsid w:val="003E1F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1F6D"/>
    <w:rPr>
      <w:rFonts w:ascii="Tahoma" w:hAnsi="Tahoma" w:cs="Tahoma"/>
      <w:sz w:val="16"/>
      <w:szCs w:val="16"/>
    </w:rPr>
  </w:style>
  <w:style w:type="paragraph" w:customStyle="1" w:styleId="parrafo">
    <w:name w:val="parrafo"/>
    <w:basedOn w:val="Normal"/>
    <w:rsid w:val="00A21B50"/>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673BD2"/>
    <w:pPr>
      <w:spacing w:after="0" w:line="240" w:lineRule="auto"/>
    </w:pPr>
    <w:rPr>
      <w:rFonts w:eastAsiaTheme="minorEastAsia"/>
      <w:lang w:val="es-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Ref. de nota al pie 2,Footnotes refss,Texto de nota al pie,Appel note de bas de page,Footnote number,referencia nota al pie,BVI fnr,f,4_G,16 Point,Superscript 6 Point,Texto nota al pie,Footnote Reference Char3,Footnote Reference,Ref"/>
    <w:link w:val="4GChar"/>
    <w:uiPriority w:val="99"/>
    <w:unhideWhenUsed/>
    <w:qFormat/>
    <w:rsid w:val="00902BE4"/>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02BE4"/>
    <w:pPr>
      <w:spacing w:after="0" w:line="240" w:lineRule="auto"/>
      <w:jc w:val="both"/>
    </w:pPr>
    <w:rPr>
      <w:vertAlign w:val="superscript"/>
    </w:rPr>
  </w:style>
  <w:style w:type="character" w:customStyle="1" w:styleId="Mencinsinresolver1">
    <w:name w:val="Mención sin resolver1"/>
    <w:basedOn w:val="Fuentedeprrafopredeter"/>
    <w:uiPriority w:val="99"/>
    <w:semiHidden/>
    <w:unhideWhenUsed/>
    <w:rsid w:val="00A57750"/>
    <w:rPr>
      <w:color w:val="605E5C"/>
      <w:shd w:val="clear" w:color="auto" w:fill="E1DFDD"/>
    </w:rPr>
  </w:style>
  <w:style w:type="paragraph" w:customStyle="1" w:styleId="Estilo">
    <w:name w:val="Estilo"/>
    <w:basedOn w:val="Sinespaciado"/>
    <w:link w:val="EstiloCar"/>
    <w:qFormat/>
    <w:rsid w:val="00B51B62"/>
    <w:pPr>
      <w:jc w:val="both"/>
    </w:pPr>
    <w:rPr>
      <w:rFonts w:ascii="Arial" w:hAnsi="Arial"/>
      <w:sz w:val="24"/>
    </w:rPr>
  </w:style>
  <w:style w:type="character" w:customStyle="1" w:styleId="EstiloCar">
    <w:name w:val="Estilo Car"/>
    <w:basedOn w:val="Fuentedeprrafopredeter"/>
    <w:link w:val="Estilo"/>
    <w:rsid w:val="00B51B62"/>
    <w:rPr>
      <w:rFonts w:ascii="Arial" w:hAnsi="Arial"/>
      <w:sz w:val="24"/>
    </w:rPr>
  </w:style>
  <w:style w:type="paragraph" w:styleId="Sinespaciado">
    <w:name w:val="No Spacing"/>
    <w:uiPriority w:val="1"/>
    <w:qFormat/>
    <w:rsid w:val="00B51B62"/>
    <w:pPr>
      <w:spacing w:after="0" w:line="240" w:lineRule="auto"/>
    </w:pPr>
  </w:style>
  <w:style w:type="paragraph" w:styleId="Prrafodelista">
    <w:name w:val="List Paragraph"/>
    <w:aliases w:val="Cita texto,TEXTO GENERAL SENTENCIAS,Lista vistosa - Énfasis 11,Párrafo de lista2,Párrafo de lista1,Footnote,List Paragraph1,Colorful List - Accent 11,Lista multicolor - Énfasis 11,Cuadrícula clara - Énfasis 31,Trascripción,Dot pt,lp1,D"/>
    <w:basedOn w:val="Normal"/>
    <w:link w:val="PrrafodelistaCar"/>
    <w:uiPriority w:val="34"/>
    <w:qFormat/>
    <w:rsid w:val="00361687"/>
    <w:pPr>
      <w:ind w:left="720"/>
      <w:contextualSpacing/>
    </w:pPr>
  </w:style>
  <w:style w:type="character" w:styleId="nfasissutil">
    <w:name w:val="Subtle Emphasis"/>
    <w:basedOn w:val="Fuentedeprrafopredeter"/>
    <w:uiPriority w:val="19"/>
    <w:qFormat/>
    <w:rsid w:val="0018193D"/>
    <w:rPr>
      <w:i/>
      <w:iCs/>
      <w:color w:val="808080" w:themeColor="text1" w:themeTint="7F"/>
    </w:rPr>
  </w:style>
  <w:style w:type="character" w:customStyle="1" w:styleId="Mencinsinresolver2">
    <w:name w:val="Mención sin resolver2"/>
    <w:basedOn w:val="Fuentedeprrafopredeter"/>
    <w:uiPriority w:val="99"/>
    <w:semiHidden/>
    <w:unhideWhenUsed/>
    <w:rsid w:val="00E37205"/>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 C"/>
    <w:basedOn w:val="Normal"/>
    <w:link w:val="TextonotapieCar"/>
    <w:uiPriority w:val="99"/>
    <w:unhideWhenUsed/>
    <w:qFormat/>
    <w:rsid w:val="00374EE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C Car"/>
    <w:basedOn w:val="Fuentedeprrafopredeter"/>
    <w:link w:val="Textonotapie"/>
    <w:uiPriority w:val="99"/>
    <w:qFormat/>
    <w:rsid w:val="00374EEC"/>
    <w:rPr>
      <w:sz w:val="20"/>
      <w:szCs w:val="20"/>
    </w:rPr>
  </w:style>
  <w:style w:type="character" w:customStyle="1" w:styleId="PrrafodelistaCar">
    <w:name w:val="Párrafo de lista Car"/>
    <w:aliases w:val="Cita texto Car,TEXTO GENERAL SENTENCIAS Car,Lista vistosa - Énfasis 11 Car,Párrafo de lista2 Car,Párrafo de lista1 Car,Footnote Car,List Paragraph1 Car,Colorful List - Accent 11 Car,Lista multicolor - Énfasis 11 Car,Trascripción Car"/>
    <w:link w:val="Prrafodelista"/>
    <w:uiPriority w:val="34"/>
    <w:qFormat/>
    <w:locked/>
    <w:rsid w:val="00BC064A"/>
  </w:style>
  <w:style w:type="paragraph" w:styleId="NormalWeb">
    <w:name w:val="Normal (Web)"/>
    <w:basedOn w:val="Normal"/>
    <w:uiPriority w:val="99"/>
    <w:semiHidden/>
    <w:unhideWhenUsed/>
    <w:rsid w:val="00145C00"/>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45C00"/>
    <w:rPr>
      <w:b/>
      <w:b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customStyle="1" w:styleId="UnresolvedMention">
    <w:name w:val="Unresolved Mention"/>
    <w:basedOn w:val="Fuentedeprrafopredeter"/>
    <w:uiPriority w:val="99"/>
    <w:semiHidden/>
    <w:unhideWhenUsed/>
    <w:rsid w:val="008C0530"/>
    <w:rPr>
      <w:color w:val="605E5C"/>
      <w:shd w:val="clear" w:color="auto" w:fill="E1DFDD"/>
    </w:rPr>
  </w:style>
  <w:style w:type="character" w:styleId="Hipervnculovisitado">
    <w:name w:val="FollowedHyperlink"/>
    <w:basedOn w:val="Fuentedeprrafopredeter"/>
    <w:uiPriority w:val="99"/>
    <w:semiHidden/>
    <w:unhideWhenUsed/>
    <w:rsid w:val="00686C4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CC4F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4F40"/>
  </w:style>
  <w:style w:type="paragraph" w:styleId="Piedepgina">
    <w:name w:val="footer"/>
    <w:basedOn w:val="Normal"/>
    <w:link w:val="PiedepginaCar"/>
    <w:uiPriority w:val="99"/>
    <w:unhideWhenUsed/>
    <w:rsid w:val="00CC4F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4F40"/>
  </w:style>
  <w:style w:type="paragraph" w:styleId="Textoindependiente2">
    <w:name w:val="Body Text 2"/>
    <w:basedOn w:val="Normal"/>
    <w:link w:val="Textoindependiente2Car"/>
    <w:rsid w:val="00E913D4"/>
    <w:pPr>
      <w:spacing w:after="0" w:line="240" w:lineRule="auto"/>
      <w:jc w:val="center"/>
    </w:pPr>
    <w:rPr>
      <w:rFonts w:ascii="Arial" w:eastAsia="Times New Roman" w:hAnsi="Arial" w:cs="Times New Roman"/>
      <w:sz w:val="28"/>
      <w:szCs w:val="20"/>
      <w:lang w:val="es-ES" w:eastAsia="es-ES"/>
    </w:rPr>
  </w:style>
  <w:style w:type="character" w:customStyle="1" w:styleId="Textoindependiente2Car">
    <w:name w:val="Texto independiente 2 Car"/>
    <w:basedOn w:val="Fuentedeprrafopredeter"/>
    <w:link w:val="Textoindependiente2"/>
    <w:rsid w:val="00E913D4"/>
    <w:rPr>
      <w:rFonts w:ascii="Arial" w:eastAsia="Times New Roman" w:hAnsi="Arial" w:cs="Times New Roman"/>
      <w:sz w:val="28"/>
      <w:szCs w:val="20"/>
      <w:lang w:val="es-ES" w:eastAsia="es-ES"/>
    </w:rPr>
  </w:style>
  <w:style w:type="character" w:styleId="Hipervnculo">
    <w:name w:val="Hyperlink"/>
    <w:basedOn w:val="Fuentedeprrafopredeter"/>
    <w:uiPriority w:val="99"/>
    <w:unhideWhenUsed/>
    <w:rsid w:val="00E913D4"/>
    <w:rPr>
      <w:rFonts w:ascii="Times New Roman" w:hAnsi="Times New Roman" w:cs="Times New Roman" w:hint="default"/>
      <w:color w:val="0000FF" w:themeColor="hyperlink"/>
      <w:u w:val="single"/>
    </w:rPr>
  </w:style>
  <w:style w:type="paragraph" w:styleId="Textodeglobo">
    <w:name w:val="Balloon Text"/>
    <w:basedOn w:val="Normal"/>
    <w:link w:val="TextodegloboCar"/>
    <w:uiPriority w:val="99"/>
    <w:semiHidden/>
    <w:unhideWhenUsed/>
    <w:rsid w:val="003E1F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1F6D"/>
    <w:rPr>
      <w:rFonts w:ascii="Tahoma" w:hAnsi="Tahoma" w:cs="Tahoma"/>
      <w:sz w:val="16"/>
      <w:szCs w:val="16"/>
    </w:rPr>
  </w:style>
  <w:style w:type="paragraph" w:customStyle="1" w:styleId="parrafo">
    <w:name w:val="parrafo"/>
    <w:basedOn w:val="Normal"/>
    <w:rsid w:val="00A21B50"/>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673BD2"/>
    <w:pPr>
      <w:spacing w:after="0" w:line="240" w:lineRule="auto"/>
    </w:pPr>
    <w:rPr>
      <w:rFonts w:eastAsiaTheme="minorEastAsia"/>
      <w:lang w:val="es-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Ref. de nota al pie 2,Footnotes refss,Texto de nota al pie,Appel note de bas de page,Footnote number,referencia nota al pie,BVI fnr,f,4_G,16 Point,Superscript 6 Point,Texto nota al pie,Footnote Reference Char3,Footnote Reference,Ref"/>
    <w:link w:val="4GChar"/>
    <w:uiPriority w:val="99"/>
    <w:unhideWhenUsed/>
    <w:qFormat/>
    <w:rsid w:val="00902BE4"/>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02BE4"/>
    <w:pPr>
      <w:spacing w:after="0" w:line="240" w:lineRule="auto"/>
      <w:jc w:val="both"/>
    </w:pPr>
    <w:rPr>
      <w:vertAlign w:val="superscript"/>
    </w:rPr>
  </w:style>
  <w:style w:type="character" w:customStyle="1" w:styleId="Mencinsinresolver1">
    <w:name w:val="Mención sin resolver1"/>
    <w:basedOn w:val="Fuentedeprrafopredeter"/>
    <w:uiPriority w:val="99"/>
    <w:semiHidden/>
    <w:unhideWhenUsed/>
    <w:rsid w:val="00A57750"/>
    <w:rPr>
      <w:color w:val="605E5C"/>
      <w:shd w:val="clear" w:color="auto" w:fill="E1DFDD"/>
    </w:rPr>
  </w:style>
  <w:style w:type="paragraph" w:customStyle="1" w:styleId="Estilo">
    <w:name w:val="Estilo"/>
    <w:basedOn w:val="Sinespaciado"/>
    <w:link w:val="EstiloCar"/>
    <w:qFormat/>
    <w:rsid w:val="00B51B62"/>
    <w:pPr>
      <w:jc w:val="both"/>
    </w:pPr>
    <w:rPr>
      <w:rFonts w:ascii="Arial" w:hAnsi="Arial"/>
      <w:sz w:val="24"/>
    </w:rPr>
  </w:style>
  <w:style w:type="character" w:customStyle="1" w:styleId="EstiloCar">
    <w:name w:val="Estilo Car"/>
    <w:basedOn w:val="Fuentedeprrafopredeter"/>
    <w:link w:val="Estilo"/>
    <w:rsid w:val="00B51B62"/>
    <w:rPr>
      <w:rFonts w:ascii="Arial" w:hAnsi="Arial"/>
      <w:sz w:val="24"/>
    </w:rPr>
  </w:style>
  <w:style w:type="paragraph" w:styleId="Sinespaciado">
    <w:name w:val="No Spacing"/>
    <w:uiPriority w:val="1"/>
    <w:qFormat/>
    <w:rsid w:val="00B51B62"/>
    <w:pPr>
      <w:spacing w:after="0" w:line="240" w:lineRule="auto"/>
    </w:pPr>
  </w:style>
  <w:style w:type="paragraph" w:styleId="Prrafodelista">
    <w:name w:val="List Paragraph"/>
    <w:aliases w:val="Cita texto,TEXTO GENERAL SENTENCIAS,Lista vistosa - Énfasis 11,Párrafo de lista2,Párrafo de lista1,Footnote,List Paragraph1,Colorful List - Accent 11,Lista multicolor - Énfasis 11,Cuadrícula clara - Énfasis 31,Trascripción,Dot pt,lp1,D"/>
    <w:basedOn w:val="Normal"/>
    <w:link w:val="PrrafodelistaCar"/>
    <w:uiPriority w:val="34"/>
    <w:qFormat/>
    <w:rsid w:val="00361687"/>
    <w:pPr>
      <w:ind w:left="720"/>
      <w:contextualSpacing/>
    </w:pPr>
  </w:style>
  <w:style w:type="character" w:styleId="nfasissutil">
    <w:name w:val="Subtle Emphasis"/>
    <w:basedOn w:val="Fuentedeprrafopredeter"/>
    <w:uiPriority w:val="19"/>
    <w:qFormat/>
    <w:rsid w:val="0018193D"/>
    <w:rPr>
      <w:i/>
      <w:iCs/>
      <w:color w:val="808080" w:themeColor="text1" w:themeTint="7F"/>
    </w:rPr>
  </w:style>
  <w:style w:type="character" w:customStyle="1" w:styleId="Mencinsinresolver2">
    <w:name w:val="Mención sin resolver2"/>
    <w:basedOn w:val="Fuentedeprrafopredeter"/>
    <w:uiPriority w:val="99"/>
    <w:semiHidden/>
    <w:unhideWhenUsed/>
    <w:rsid w:val="00E37205"/>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 C"/>
    <w:basedOn w:val="Normal"/>
    <w:link w:val="TextonotapieCar"/>
    <w:uiPriority w:val="99"/>
    <w:unhideWhenUsed/>
    <w:qFormat/>
    <w:rsid w:val="00374EE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C Car"/>
    <w:basedOn w:val="Fuentedeprrafopredeter"/>
    <w:link w:val="Textonotapie"/>
    <w:uiPriority w:val="99"/>
    <w:qFormat/>
    <w:rsid w:val="00374EEC"/>
    <w:rPr>
      <w:sz w:val="20"/>
      <w:szCs w:val="20"/>
    </w:rPr>
  </w:style>
  <w:style w:type="character" w:customStyle="1" w:styleId="PrrafodelistaCar">
    <w:name w:val="Párrafo de lista Car"/>
    <w:aliases w:val="Cita texto Car,TEXTO GENERAL SENTENCIAS Car,Lista vistosa - Énfasis 11 Car,Párrafo de lista2 Car,Párrafo de lista1 Car,Footnote Car,List Paragraph1 Car,Colorful List - Accent 11 Car,Lista multicolor - Énfasis 11 Car,Trascripción Car"/>
    <w:link w:val="Prrafodelista"/>
    <w:uiPriority w:val="34"/>
    <w:qFormat/>
    <w:locked/>
    <w:rsid w:val="00BC064A"/>
  </w:style>
  <w:style w:type="paragraph" w:styleId="NormalWeb">
    <w:name w:val="Normal (Web)"/>
    <w:basedOn w:val="Normal"/>
    <w:uiPriority w:val="99"/>
    <w:semiHidden/>
    <w:unhideWhenUsed/>
    <w:rsid w:val="00145C00"/>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45C00"/>
    <w:rPr>
      <w:b/>
      <w:b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customStyle="1" w:styleId="UnresolvedMention">
    <w:name w:val="Unresolved Mention"/>
    <w:basedOn w:val="Fuentedeprrafopredeter"/>
    <w:uiPriority w:val="99"/>
    <w:semiHidden/>
    <w:unhideWhenUsed/>
    <w:rsid w:val="008C0530"/>
    <w:rPr>
      <w:color w:val="605E5C"/>
      <w:shd w:val="clear" w:color="auto" w:fill="E1DFDD"/>
    </w:rPr>
  </w:style>
  <w:style w:type="character" w:styleId="Hipervnculovisitado">
    <w:name w:val="FollowedHyperlink"/>
    <w:basedOn w:val="Fuentedeprrafopredeter"/>
    <w:uiPriority w:val="99"/>
    <w:semiHidden/>
    <w:unhideWhenUsed/>
    <w:rsid w:val="00686C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apps.cjf.gob.mx/BVS/TransmisionBiblioteca?clave=207740"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pps2.cjf.gob.mx/BVS/TransmisionBiblioteca?clave=207740" TargetMode="External"/><Relationship Id="rId4" Type="http://schemas.openxmlformats.org/officeDocument/2006/relationships/settings" Target="settings.xml"/><Relationship Id="rId9" Type="http://schemas.openxmlformats.org/officeDocument/2006/relationships/hyperlink" Target="http://sise.cjf.gob.mx/SVP/word1.aspx?arch=80/0080000039021884007.pdf_1&amp;sec=Esther_Dessire__Rivera_Flores&amp;svp=1"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T3H9BjvBOQ71zfmXo2K2pOtUtg==">CgMxLjAyDmgubGJsMm15dHk4bXFpMg5oLjQzMHQzbGl2bThxdjgAciExTGwtX3lLY3NtbWlZbFAtci0zSE1iRTRneXVNWHpaaEk=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686</Words>
  <Characters>3776</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JAIME GONZALEZ VARAS</dc:creator>
  <cp:lastModifiedBy>Nora Acosta Hernandez</cp:lastModifiedBy>
  <cp:revision>6</cp:revision>
  <dcterms:created xsi:type="dcterms:W3CDTF">2025-10-27T20:45:00Z</dcterms:created>
  <dcterms:modified xsi:type="dcterms:W3CDTF">2025-11-04T20:20:00Z</dcterms:modified>
</cp:coreProperties>
</file>