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6237" w:type="dxa"/>
        <w:tblInd w:w="2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4536"/>
      </w:tblGrid>
      <w:tr w:rsidR="00872EAD" w:rsidRPr="005A1892" w14:paraId="1D9DC277" w14:textId="77777777" w:rsidTr="00872EAD">
        <w:trPr>
          <w:trHeight w:val="442"/>
        </w:trPr>
        <w:tc>
          <w:tcPr>
            <w:tcW w:w="6237" w:type="dxa"/>
            <w:gridSpan w:val="2"/>
            <w:shd w:val="clear" w:color="auto" w:fill="DD8383"/>
            <w:vAlign w:val="center"/>
          </w:tcPr>
          <w:p w14:paraId="14EE862A" w14:textId="77777777" w:rsidR="00872EAD" w:rsidRPr="005A1892" w:rsidRDefault="00872EAD" w:rsidP="00686E30">
            <w:pPr>
              <w:spacing w:after="0" w:line="240" w:lineRule="auto"/>
              <w:ind w:left="369"/>
              <w:jc w:val="center"/>
              <w:rPr>
                <w:rFonts w:ascii="Arial" w:eastAsia="Arial" w:hAnsi="Arial" w:cs="Arial"/>
                <w:b/>
              </w:rPr>
            </w:pPr>
            <w:r>
              <w:rPr>
                <w:rFonts w:ascii="Arial" w:eastAsia="Arial" w:hAnsi="Arial" w:cs="Arial"/>
                <w:b/>
              </w:rPr>
              <w:t>Localiza el voto [</w:t>
            </w:r>
            <w:r w:rsidRPr="005A1892">
              <w:rPr>
                <w:rFonts w:ascii="Arial" w:eastAsia="Arial" w:hAnsi="Arial" w:cs="Arial"/>
                <w:i/>
                <w:sz w:val="18"/>
                <w:szCs w:val="18"/>
              </w:rPr>
              <w:t>Datos de identificación</w:t>
            </w:r>
            <w:r>
              <w:rPr>
                <w:rFonts w:ascii="Arial" w:eastAsia="Arial" w:hAnsi="Arial" w:cs="Arial"/>
                <w:b/>
              </w:rPr>
              <w:t>]</w:t>
            </w:r>
          </w:p>
        </w:tc>
      </w:tr>
      <w:tr w:rsidR="00872EAD" w:rsidRPr="005A1892" w14:paraId="049B5614" w14:textId="77777777" w:rsidTr="00872EAD">
        <w:trPr>
          <w:trHeight w:val="420"/>
          <w:tblHeader/>
        </w:trPr>
        <w:tc>
          <w:tcPr>
            <w:tcW w:w="1701" w:type="dxa"/>
            <w:shd w:val="clear" w:color="auto" w:fill="F8A2A2"/>
            <w:vAlign w:val="center"/>
          </w:tcPr>
          <w:p w14:paraId="483A1477" w14:textId="77777777" w:rsidR="00872EAD" w:rsidRPr="005A1892" w:rsidRDefault="00872EAD" w:rsidP="00686E30">
            <w:pPr>
              <w:spacing w:after="0" w:line="240" w:lineRule="auto"/>
              <w:jc w:val="center"/>
              <w:rPr>
                <w:rFonts w:ascii="Arial Narrow" w:eastAsia="Arial" w:hAnsi="Arial Narrow" w:cs="Arial"/>
                <w:i/>
                <w:sz w:val="20"/>
                <w:szCs w:val="20"/>
              </w:rPr>
            </w:pPr>
            <w:r w:rsidRPr="005A1892">
              <w:rPr>
                <w:rFonts w:ascii="Arial Narrow" w:eastAsia="Arial" w:hAnsi="Arial Narrow" w:cs="Arial"/>
                <w:i/>
                <w:sz w:val="20"/>
                <w:szCs w:val="20"/>
              </w:rPr>
              <w:t>Tipo de Voto</w:t>
            </w:r>
          </w:p>
        </w:tc>
        <w:tc>
          <w:tcPr>
            <w:tcW w:w="4536" w:type="dxa"/>
            <w:vAlign w:val="center"/>
          </w:tcPr>
          <w:p w14:paraId="772FECC6" w14:textId="77777777" w:rsidR="00872EAD" w:rsidRPr="005A1892" w:rsidRDefault="00872EAD" w:rsidP="00686E30">
            <w:pPr>
              <w:spacing w:after="0" w:line="240" w:lineRule="auto"/>
              <w:ind w:left="369"/>
              <w:jc w:val="center"/>
              <w:rPr>
                <w:rFonts w:ascii="Arial" w:eastAsia="Arial" w:hAnsi="Arial" w:cs="Arial"/>
                <w:b/>
                <w:sz w:val="24"/>
                <w:szCs w:val="24"/>
              </w:rPr>
            </w:pPr>
            <w:r w:rsidRPr="005A1892">
              <w:rPr>
                <w:rFonts w:ascii="Arial" w:eastAsia="Arial" w:hAnsi="Arial" w:cs="Arial"/>
                <w:b/>
                <w:sz w:val="24"/>
                <w:szCs w:val="24"/>
              </w:rPr>
              <w:t>Concurrente</w:t>
            </w:r>
          </w:p>
        </w:tc>
      </w:tr>
      <w:tr w:rsidR="00872EAD" w:rsidRPr="005A1892" w14:paraId="27BF5366" w14:textId="77777777" w:rsidTr="00872EAD">
        <w:trPr>
          <w:trHeight w:val="384"/>
        </w:trPr>
        <w:tc>
          <w:tcPr>
            <w:tcW w:w="1701" w:type="dxa"/>
            <w:shd w:val="clear" w:color="auto" w:fill="F8A2A2"/>
            <w:vAlign w:val="center"/>
          </w:tcPr>
          <w:p w14:paraId="5641F131" w14:textId="77777777" w:rsidR="00872EAD" w:rsidRPr="005A1892" w:rsidRDefault="00872EAD" w:rsidP="00686E30">
            <w:pPr>
              <w:spacing w:after="0" w:line="240" w:lineRule="auto"/>
              <w:jc w:val="center"/>
              <w:rPr>
                <w:rFonts w:ascii="Arial Narrow" w:eastAsia="Arial" w:hAnsi="Arial Narrow" w:cs="Arial"/>
                <w:i/>
                <w:sz w:val="20"/>
                <w:szCs w:val="20"/>
              </w:rPr>
            </w:pPr>
            <w:r w:rsidRPr="005A1892">
              <w:rPr>
                <w:rFonts w:ascii="Arial Narrow" w:eastAsia="Arial" w:hAnsi="Arial Narrow" w:cs="Arial"/>
                <w:i/>
                <w:sz w:val="20"/>
                <w:szCs w:val="20"/>
              </w:rPr>
              <w:t>Órgano</w:t>
            </w:r>
          </w:p>
        </w:tc>
        <w:tc>
          <w:tcPr>
            <w:tcW w:w="4536" w:type="dxa"/>
            <w:vAlign w:val="center"/>
          </w:tcPr>
          <w:p w14:paraId="3ACEB9EC" w14:textId="77777777" w:rsidR="00872EAD" w:rsidRPr="005A1892" w:rsidRDefault="00872EAD" w:rsidP="00686E30">
            <w:pPr>
              <w:spacing w:after="0" w:line="240" w:lineRule="auto"/>
              <w:ind w:left="369"/>
              <w:jc w:val="center"/>
              <w:rPr>
                <w:rFonts w:ascii="Arial" w:eastAsia="Arial" w:hAnsi="Arial" w:cs="Arial"/>
                <w:i/>
                <w:sz w:val="18"/>
                <w:szCs w:val="18"/>
              </w:rPr>
            </w:pPr>
            <w:r w:rsidRPr="005A1892">
              <w:rPr>
                <w:rFonts w:ascii="Arial" w:eastAsia="Arial" w:hAnsi="Arial" w:cs="Arial"/>
                <w:i/>
                <w:sz w:val="18"/>
                <w:szCs w:val="18"/>
              </w:rPr>
              <w:t>Décimo Tribunal Colegiado en Materia Civil del  Primer Circuito</w:t>
            </w:r>
          </w:p>
        </w:tc>
      </w:tr>
      <w:tr w:rsidR="00872EAD" w:rsidRPr="005A1892" w14:paraId="36BCEE6B" w14:textId="77777777" w:rsidTr="00872EAD">
        <w:trPr>
          <w:trHeight w:val="336"/>
        </w:trPr>
        <w:tc>
          <w:tcPr>
            <w:tcW w:w="1701" w:type="dxa"/>
            <w:shd w:val="clear" w:color="auto" w:fill="F8A2A2"/>
            <w:vAlign w:val="center"/>
          </w:tcPr>
          <w:p w14:paraId="71EF4086" w14:textId="77777777" w:rsidR="00872EAD" w:rsidRPr="005A1892" w:rsidRDefault="00872EAD" w:rsidP="00686E30">
            <w:pPr>
              <w:spacing w:after="0" w:line="240" w:lineRule="auto"/>
              <w:jc w:val="center"/>
              <w:rPr>
                <w:rFonts w:ascii="Arial Narrow" w:eastAsia="Arial" w:hAnsi="Arial Narrow" w:cs="Arial"/>
                <w:i/>
                <w:sz w:val="20"/>
                <w:szCs w:val="20"/>
              </w:rPr>
            </w:pPr>
            <w:r w:rsidRPr="005A1892">
              <w:rPr>
                <w:rFonts w:ascii="Arial Narrow" w:eastAsia="Arial" w:hAnsi="Arial Narrow" w:cs="Arial"/>
                <w:i/>
                <w:sz w:val="20"/>
                <w:szCs w:val="20"/>
              </w:rPr>
              <w:t>Tipo de Asunto</w:t>
            </w:r>
          </w:p>
        </w:tc>
        <w:tc>
          <w:tcPr>
            <w:tcW w:w="4536" w:type="dxa"/>
            <w:vAlign w:val="center"/>
          </w:tcPr>
          <w:p w14:paraId="028B5808" w14:textId="77777777" w:rsidR="00872EAD" w:rsidRPr="005A1892" w:rsidRDefault="00872EAD" w:rsidP="00686E30">
            <w:pPr>
              <w:spacing w:after="0" w:line="240" w:lineRule="auto"/>
              <w:ind w:left="369"/>
              <w:jc w:val="center"/>
              <w:rPr>
                <w:rFonts w:ascii="Arial" w:eastAsia="Arial" w:hAnsi="Arial" w:cs="Arial"/>
                <w:b/>
              </w:rPr>
            </w:pPr>
            <w:r w:rsidRPr="005A1892">
              <w:rPr>
                <w:rFonts w:ascii="Arial" w:eastAsia="Arial" w:hAnsi="Arial" w:cs="Arial"/>
                <w:b/>
              </w:rPr>
              <w:t>Amparo en Revisión</w:t>
            </w:r>
          </w:p>
        </w:tc>
      </w:tr>
      <w:tr w:rsidR="00872EAD" w:rsidRPr="005A1892" w14:paraId="1D9DA735" w14:textId="77777777" w:rsidTr="00872EAD">
        <w:trPr>
          <w:trHeight w:val="384"/>
        </w:trPr>
        <w:tc>
          <w:tcPr>
            <w:tcW w:w="1701" w:type="dxa"/>
            <w:shd w:val="clear" w:color="auto" w:fill="F8A2A2"/>
            <w:vAlign w:val="center"/>
          </w:tcPr>
          <w:p w14:paraId="09134B9B" w14:textId="77777777" w:rsidR="00872EAD" w:rsidRPr="005A1892" w:rsidRDefault="00872EAD" w:rsidP="00686E30">
            <w:pPr>
              <w:spacing w:after="0" w:line="240" w:lineRule="auto"/>
              <w:jc w:val="center"/>
              <w:rPr>
                <w:rFonts w:ascii="Arial Narrow" w:eastAsia="Arial" w:hAnsi="Arial Narrow" w:cs="Arial"/>
                <w:i/>
                <w:sz w:val="20"/>
                <w:szCs w:val="20"/>
              </w:rPr>
            </w:pPr>
            <w:r w:rsidRPr="005A1892">
              <w:rPr>
                <w:rFonts w:ascii="Arial Narrow" w:eastAsia="Arial" w:hAnsi="Arial Narrow" w:cs="Arial"/>
                <w:i/>
                <w:sz w:val="20"/>
                <w:szCs w:val="20"/>
              </w:rPr>
              <w:t>Número</w:t>
            </w:r>
          </w:p>
        </w:tc>
        <w:tc>
          <w:tcPr>
            <w:tcW w:w="4536" w:type="dxa"/>
            <w:vAlign w:val="center"/>
          </w:tcPr>
          <w:p w14:paraId="44481D6D" w14:textId="70A01D90" w:rsidR="00872EAD" w:rsidRPr="005A1892" w:rsidRDefault="00872EAD" w:rsidP="00686E30">
            <w:pPr>
              <w:spacing w:after="0" w:line="240" w:lineRule="auto"/>
              <w:ind w:left="369"/>
              <w:jc w:val="center"/>
              <w:rPr>
                <w:rFonts w:ascii="Arial" w:eastAsia="Arial" w:hAnsi="Arial" w:cs="Arial"/>
                <w:b/>
                <w:sz w:val="28"/>
                <w:szCs w:val="28"/>
              </w:rPr>
            </w:pPr>
            <w:r>
              <w:rPr>
                <w:rFonts w:ascii="Arial" w:eastAsia="Arial" w:hAnsi="Arial" w:cs="Arial"/>
                <w:b/>
                <w:color w:val="CC0000"/>
                <w:sz w:val="28"/>
                <w:szCs w:val="28"/>
              </w:rPr>
              <w:t>206</w:t>
            </w:r>
            <w:r w:rsidRPr="005A1892">
              <w:rPr>
                <w:rFonts w:ascii="Arial" w:eastAsia="Arial" w:hAnsi="Arial" w:cs="Arial"/>
                <w:b/>
                <w:color w:val="CC0000"/>
                <w:sz w:val="28"/>
                <w:szCs w:val="28"/>
              </w:rPr>
              <w:t>/2025</w:t>
            </w:r>
          </w:p>
        </w:tc>
      </w:tr>
      <w:tr w:rsidR="00872EAD" w:rsidRPr="005A1892" w14:paraId="14CB7345" w14:textId="77777777" w:rsidTr="00872EAD">
        <w:trPr>
          <w:trHeight w:val="384"/>
        </w:trPr>
        <w:tc>
          <w:tcPr>
            <w:tcW w:w="1701" w:type="dxa"/>
            <w:shd w:val="clear" w:color="auto" w:fill="F8A2A2"/>
            <w:vAlign w:val="center"/>
          </w:tcPr>
          <w:p w14:paraId="4424501B" w14:textId="77777777" w:rsidR="00872EAD" w:rsidRPr="005A1892" w:rsidRDefault="00872EAD" w:rsidP="00686E30">
            <w:pPr>
              <w:spacing w:after="0" w:line="240" w:lineRule="auto"/>
              <w:jc w:val="center"/>
              <w:rPr>
                <w:rFonts w:ascii="Arial Narrow" w:eastAsia="Arial" w:hAnsi="Arial Narrow" w:cs="Arial"/>
                <w:i/>
                <w:sz w:val="20"/>
                <w:szCs w:val="20"/>
              </w:rPr>
            </w:pPr>
            <w:r>
              <w:rPr>
                <w:rFonts w:ascii="Arial Narrow" w:eastAsia="Arial" w:hAnsi="Arial Narrow" w:cs="Arial"/>
                <w:i/>
                <w:sz w:val="20"/>
                <w:szCs w:val="20"/>
              </w:rPr>
              <w:t xml:space="preserve">Discusión </w:t>
            </w:r>
          </w:p>
        </w:tc>
        <w:tc>
          <w:tcPr>
            <w:tcW w:w="4536" w:type="dxa"/>
            <w:vAlign w:val="center"/>
          </w:tcPr>
          <w:p w14:paraId="1FFEF63C" w14:textId="0773AE90" w:rsidR="00872EAD" w:rsidRDefault="00872EAD" w:rsidP="00872EAD">
            <w:pPr>
              <w:spacing w:after="0" w:line="240" w:lineRule="auto"/>
              <w:jc w:val="center"/>
              <w:rPr>
                <w:rFonts w:ascii="Arial" w:eastAsia="Arial" w:hAnsi="Arial" w:cs="Arial"/>
                <w:b/>
                <w:i/>
                <w:sz w:val="20"/>
                <w:szCs w:val="20"/>
              </w:rPr>
            </w:pPr>
            <w:r w:rsidRPr="00872EAD">
              <w:rPr>
                <w:rFonts w:ascii="Arial" w:eastAsia="Arial" w:hAnsi="Arial" w:cs="Arial"/>
                <w:b/>
                <w:i/>
                <w:sz w:val="20"/>
                <w:szCs w:val="20"/>
              </w:rPr>
              <w:t xml:space="preserve">Video de la sesión: </w:t>
            </w:r>
            <w:hyperlink r:id="rId9" w:history="1">
              <w:r w:rsidR="00EB3249" w:rsidRPr="00B231B2">
                <w:rPr>
                  <w:rStyle w:val="Hipervnculo"/>
                  <w:rFonts w:ascii="Arial" w:eastAsia="Arial" w:hAnsi="Arial" w:cs="Arial"/>
                  <w:b/>
                  <w:i/>
                  <w:color w:val="auto"/>
                  <w:sz w:val="20"/>
                  <w:szCs w:val="20"/>
                </w:rPr>
                <w:t>[</w:t>
              </w:r>
              <w:proofErr w:type="spellStart"/>
              <w:r w:rsidR="00EB3249" w:rsidRPr="00B231B2">
                <w:rPr>
                  <w:rStyle w:val="Hipervnculo"/>
                  <w:rFonts w:ascii="Arial" w:eastAsia="Arial" w:hAnsi="Arial" w:cs="Arial"/>
                  <w:b/>
                  <w:i/>
                  <w:color w:val="C00000"/>
                  <w:sz w:val="20"/>
                  <w:szCs w:val="20"/>
                </w:rPr>
                <w:t>Click</w:t>
              </w:r>
              <w:proofErr w:type="spellEnd"/>
              <w:r w:rsidR="00EB3249" w:rsidRPr="00B231B2">
                <w:rPr>
                  <w:rStyle w:val="Hipervnculo"/>
                  <w:rFonts w:ascii="Arial" w:eastAsia="Arial" w:hAnsi="Arial" w:cs="Arial"/>
                  <w:b/>
                  <w:i/>
                  <w:color w:val="C00000"/>
                  <w:sz w:val="20"/>
                  <w:szCs w:val="20"/>
                </w:rPr>
                <w:t xml:space="preserve"> aquí</w:t>
              </w:r>
              <w:r w:rsidR="00EB3249" w:rsidRPr="00B231B2">
                <w:rPr>
                  <w:rStyle w:val="Hipervnculo"/>
                  <w:rFonts w:ascii="Arial" w:eastAsia="Arial" w:hAnsi="Arial" w:cs="Arial"/>
                  <w:b/>
                  <w:i/>
                  <w:color w:val="auto"/>
                  <w:sz w:val="20"/>
                  <w:szCs w:val="20"/>
                </w:rPr>
                <w:t>]</w:t>
              </w:r>
            </w:hyperlink>
            <w:r w:rsidR="00EB3249">
              <w:rPr>
                <w:rFonts w:ascii="Arial" w:eastAsia="Arial" w:hAnsi="Arial" w:cs="Arial"/>
                <w:b/>
                <w:i/>
                <w:sz w:val="20"/>
                <w:szCs w:val="20"/>
              </w:rPr>
              <w:t xml:space="preserve"> </w:t>
            </w:r>
          </w:p>
          <w:p w14:paraId="70194726" w14:textId="1339303E" w:rsidR="00872EAD" w:rsidRPr="00872EAD" w:rsidRDefault="00872EAD" w:rsidP="00872EAD">
            <w:pPr>
              <w:spacing w:after="0" w:line="240" w:lineRule="auto"/>
              <w:jc w:val="center"/>
              <w:rPr>
                <w:rFonts w:ascii="Arial" w:eastAsia="Arial" w:hAnsi="Arial" w:cs="Arial"/>
                <w:b/>
                <w:i/>
                <w:sz w:val="20"/>
                <w:szCs w:val="20"/>
              </w:rPr>
            </w:pPr>
            <w:r w:rsidRPr="00872EAD">
              <w:rPr>
                <w:rFonts w:ascii="Arial" w:eastAsia="Arial" w:hAnsi="Arial" w:cs="Arial"/>
                <w:b/>
                <w:i/>
                <w:sz w:val="20"/>
                <w:szCs w:val="20"/>
              </w:rPr>
              <w:t>Minuto: 02:02:12</w:t>
            </w:r>
          </w:p>
        </w:tc>
      </w:tr>
      <w:tr w:rsidR="001859B7" w:rsidRPr="005A1892" w14:paraId="4463A171" w14:textId="77777777" w:rsidTr="00872EAD">
        <w:trPr>
          <w:trHeight w:val="384"/>
        </w:trPr>
        <w:tc>
          <w:tcPr>
            <w:tcW w:w="1701" w:type="dxa"/>
            <w:shd w:val="clear" w:color="auto" w:fill="F8A2A2"/>
            <w:vAlign w:val="center"/>
          </w:tcPr>
          <w:p w14:paraId="59336FF9" w14:textId="071F671D" w:rsidR="001859B7" w:rsidRDefault="001859B7" w:rsidP="001859B7">
            <w:pPr>
              <w:spacing w:after="0" w:line="240" w:lineRule="auto"/>
              <w:jc w:val="center"/>
              <w:rPr>
                <w:rFonts w:ascii="Arial Narrow" w:eastAsia="Arial" w:hAnsi="Arial Narrow" w:cs="Arial"/>
                <w:i/>
                <w:sz w:val="20"/>
                <w:szCs w:val="20"/>
              </w:rPr>
            </w:pPr>
            <w:r>
              <w:rPr>
                <w:rFonts w:ascii="Arial Narrow" w:eastAsia="Arial" w:hAnsi="Arial Narrow" w:cs="Arial"/>
                <w:i/>
                <w:sz w:val="20"/>
                <w:szCs w:val="20"/>
              </w:rPr>
              <w:t>Sistematización</w:t>
            </w:r>
          </w:p>
        </w:tc>
        <w:tc>
          <w:tcPr>
            <w:tcW w:w="4536" w:type="dxa"/>
            <w:vAlign w:val="center"/>
          </w:tcPr>
          <w:p w14:paraId="5AC38A7E" w14:textId="77777777" w:rsidR="001859B7" w:rsidRPr="00CB72A8" w:rsidRDefault="001859B7" w:rsidP="001859B7">
            <w:pPr>
              <w:spacing w:after="0" w:line="240" w:lineRule="auto"/>
              <w:jc w:val="center"/>
              <w:rPr>
                <w:rFonts w:ascii="Arial" w:eastAsia="Arial" w:hAnsi="Arial" w:cs="Arial"/>
                <w:b/>
                <w:color w:val="943634" w:themeColor="accent2" w:themeShade="BF"/>
                <w:sz w:val="24"/>
                <w:szCs w:val="24"/>
              </w:rPr>
            </w:pPr>
            <w:r w:rsidRPr="00CB72A8">
              <w:rPr>
                <w:rFonts w:ascii="Arial" w:eastAsia="Arial" w:hAnsi="Arial" w:cs="Arial"/>
                <w:b/>
                <w:color w:val="943634" w:themeColor="accent2" w:themeShade="BF"/>
                <w:sz w:val="24"/>
                <w:szCs w:val="24"/>
              </w:rPr>
              <w:t>Constitucional</w:t>
            </w:r>
          </w:p>
          <w:p w14:paraId="255B8E02" w14:textId="3772F3FC" w:rsidR="001859B7" w:rsidRPr="00872EAD" w:rsidRDefault="001859B7" w:rsidP="001859B7">
            <w:pPr>
              <w:spacing w:after="0" w:line="240" w:lineRule="auto"/>
              <w:jc w:val="center"/>
              <w:rPr>
                <w:rFonts w:ascii="Arial" w:eastAsia="Arial" w:hAnsi="Arial" w:cs="Arial"/>
                <w:b/>
                <w:i/>
                <w:sz w:val="20"/>
                <w:szCs w:val="20"/>
              </w:rPr>
            </w:pPr>
            <w:r>
              <w:rPr>
                <w:rFonts w:ascii="Arial" w:eastAsia="Arial" w:hAnsi="Arial" w:cs="Arial"/>
                <w:i/>
                <w:sz w:val="18"/>
                <w:szCs w:val="18"/>
              </w:rPr>
              <w:t>Retroactividad de jurisprudencia</w:t>
            </w:r>
            <w:r w:rsidRPr="00EA4A89">
              <w:rPr>
                <w:rFonts w:ascii="Arial" w:eastAsia="Arial" w:hAnsi="Arial" w:cs="Arial"/>
                <w:i/>
                <w:sz w:val="18"/>
                <w:szCs w:val="18"/>
              </w:rPr>
              <w:t xml:space="preserve">. </w:t>
            </w:r>
            <w:r>
              <w:rPr>
                <w:rFonts w:ascii="Arial" w:eastAsia="Arial" w:hAnsi="Arial" w:cs="Arial"/>
                <w:i/>
                <w:sz w:val="18"/>
                <w:szCs w:val="18"/>
              </w:rPr>
              <w:t>Validez de jurisprudencia. Serie diálogo con la Corte</w:t>
            </w:r>
            <w:bookmarkStart w:id="0" w:name="_GoBack"/>
            <w:bookmarkEnd w:id="0"/>
          </w:p>
        </w:tc>
      </w:tr>
      <w:bookmarkStart w:id="1" w:name="_heading=h.83x6p3ps8pb8" w:colFirst="0" w:colLast="0"/>
      <w:bookmarkEnd w:id="1"/>
      <w:tr w:rsidR="00872EAD" w:rsidRPr="005A1892" w14:paraId="33A34788" w14:textId="77777777" w:rsidTr="00872EAD">
        <w:trPr>
          <w:trHeight w:val="384"/>
        </w:trPr>
        <w:tc>
          <w:tcPr>
            <w:tcW w:w="6237" w:type="dxa"/>
            <w:gridSpan w:val="2"/>
            <w:vAlign w:val="center"/>
          </w:tcPr>
          <w:p w14:paraId="5C11D849" w14:textId="525C0FD5" w:rsidR="00872EAD" w:rsidRPr="005A1892" w:rsidRDefault="00872EAD" w:rsidP="00872EAD">
            <w:pPr>
              <w:spacing w:after="0" w:line="240" w:lineRule="auto"/>
              <w:ind w:left="369"/>
              <w:jc w:val="center"/>
              <w:rPr>
                <w:rFonts w:ascii="Arial" w:eastAsia="Arial" w:hAnsi="Arial" w:cs="Arial"/>
              </w:rPr>
            </w:pPr>
            <w:r w:rsidRPr="00DC7341">
              <w:rPr>
                <w:rFonts w:ascii="Arial" w:eastAsia="Arial" w:hAnsi="Arial" w:cs="Arial"/>
                <w:b/>
                <w:color w:val="C00000"/>
              </w:rPr>
              <w:fldChar w:fldCharType="begin"/>
            </w:r>
            <w:r w:rsidRPr="00DC7341">
              <w:rPr>
                <w:rFonts w:ascii="Arial" w:eastAsia="Arial" w:hAnsi="Arial" w:cs="Arial"/>
                <w:b/>
                <w:color w:val="C00000"/>
              </w:rPr>
              <w:instrText xml:space="preserve"> HYPERLINK "http://sise.cjf.gob.mx/SVP/word1.aspx?arch=80/0080000039075584006.pdf_1&amp;sec=Edgar_Oswaldo_Martinez_Rangel&amp;svp=1" </w:instrText>
            </w:r>
            <w:r w:rsidRPr="00DC7341">
              <w:rPr>
                <w:rFonts w:ascii="Arial" w:eastAsia="Arial" w:hAnsi="Arial" w:cs="Arial"/>
                <w:b/>
                <w:color w:val="C00000"/>
              </w:rPr>
              <w:fldChar w:fldCharType="separate"/>
            </w:r>
            <w:r w:rsidRPr="00DC7341">
              <w:rPr>
                <w:rStyle w:val="Hipervnculo"/>
                <w:rFonts w:ascii="Arial" w:eastAsia="Arial" w:hAnsi="Arial" w:cs="Arial"/>
                <w:b/>
                <w:color w:val="C00000"/>
              </w:rPr>
              <w:t>Link al voto contenido en la sentencia (página 106)</w:t>
            </w:r>
            <w:r w:rsidRPr="00DC7341">
              <w:rPr>
                <w:rFonts w:ascii="Arial" w:eastAsia="Arial" w:hAnsi="Arial" w:cs="Arial"/>
                <w:b/>
                <w:color w:val="C00000"/>
              </w:rPr>
              <w:fldChar w:fldCharType="end"/>
            </w:r>
          </w:p>
        </w:tc>
      </w:tr>
    </w:tbl>
    <w:p w14:paraId="4F2D38F2" w14:textId="77777777" w:rsidR="00872EAD" w:rsidRDefault="00872EAD">
      <w:pPr>
        <w:ind w:left="1843"/>
        <w:jc w:val="both"/>
        <w:rPr>
          <w:rFonts w:ascii="Arial" w:eastAsia="Arial" w:hAnsi="Arial" w:cs="Arial"/>
          <w:b/>
          <w:color w:val="366091"/>
          <w:sz w:val="32"/>
          <w:szCs w:val="32"/>
        </w:rPr>
      </w:pPr>
    </w:p>
    <w:p w14:paraId="00000002" w14:textId="77777777" w:rsidR="002C2CEC" w:rsidRDefault="00CA258F">
      <w:pPr>
        <w:ind w:left="1843"/>
        <w:jc w:val="both"/>
        <w:rPr>
          <w:rFonts w:ascii="Arial" w:eastAsia="Arial" w:hAnsi="Arial" w:cs="Arial"/>
          <w:b/>
          <w:color w:val="366091"/>
          <w:sz w:val="32"/>
          <w:szCs w:val="32"/>
        </w:rPr>
      </w:pPr>
      <w:r>
        <w:rPr>
          <w:rFonts w:ascii="Arial" w:eastAsia="Arial" w:hAnsi="Arial" w:cs="Arial"/>
          <w:b/>
          <w:color w:val="366091"/>
          <w:sz w:val="32"/>
          <w:szCs w:val="32"/>
        </w:rPr>
        <w:t>VOTO CONCURRENTE QUE FORMULA EL MAGISTRADO JUAN JAIME GONZÁLEZ VARAS EN EL AMPARO EN REVISIÓN 206/2025</w:t>
      </w:r>
    </w:p>
    <w:tbl>
      <w:tblPr>
        <w:tblW w:w="6345" w:type="dxa"/>
        <w:tblInd w:w="1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tblGrid>
      <w:tr w:rsidR="008A35AB" w14:paraId="30C79CAE" w14:textId="77777777" w:rsidTr="00B36FEF">
        <w:trPr>
          <w:trHeight w:val="1931"/>
        </w:trPr>
        <w:tc>
          <w:tcPr>
            <w:tcW w:w="6345" w:type="dxa"/>
            <w:shd w:val="clear" w:color="auto" w:fill="DBE5F1"/>
          </w:tcPr>
          <w:p w14:paraId="458C7C33" w14:textId="20C7B639" w:rsidR="007C6B8A" w:rsidRPr="007C6B8A" w:rsidRDefault="007C6B8A" w:rsidP="007C6B8A">
            <w:pPr>
              <w:spacing w:line="360" w:lineRule="auto"/>
              <w:jc w:val="center"/>
              <w:rPr>
                <w:rFonts w:ascii="Arial" w:eastAsia="Arial" w:hAnsi="Arial" w:cs="Arial"/>
                <w:b/>
              </w:rPr>
            </w:pPr>
            <w:r w:rsidRPr="007C6B8A">
              <w:rPr>
                <w:rFonts w:ascii="Arial" w:eastAsia="Arial" w:hAnsi="Arial" w:cs="Arial"/>
                <w:b/>
              </w:rPr>
              <w:t>Diálogo con la Corte</w:t>
            </w:r>
          </w:p>
          <w:p w14:paraId="0F7CCC11" w14:textId="5AA062AB" w:rsidR="008A35AB" w:rsidRPr="008C7D5F" w:rsidRDefault="00752DA7" w:rsidP="00D52BD0">
            <w:pPr>
              <w:jc w:val="both"/>
              <w:rPr>
                <w:rFonts w:ascii="Arial" w:eastAsia="Arial" w:hAnsi="Arial" w:cs="Arial"/>
                <w:i/>
              </w:rPr>
            </w:pPr>
            <w:r w:rsidRPr="00752DA7">
              <w:rPr>
                <w:rFonts w:ascii="Arial" w:eastAsia="Arial" w:hAnsi="Arial" w:cs="Arial"/>
                <w:b/>
                <w:i/>
                <w:noProof/>
              </w:rPr>
              <w:drawing>
                <wp:anchor distT="0" distB="0" distL="114300" distR="114300" simplePos="0" relativeHeight="251658240" behindDoc="0" locked="0" layoutInCell="1" allowOverlap="1" wp14:anchorId="3567982C" wp14:editId="6BA08A54">
                  <wp:simplePos x="0" y="0"/>
                  <wp:positionH relativeFrom="column">
                    <wp:posOffset>2763520</wp:posOffset>
                  </wp:positionH>
                  <wp:positionV relativeFrom="paragraph">
                    <wp:posOffset>1285875</wp:posOffset>
                  </wp:positionV>
                  <wp:extent cx="772160" cy="772160"/>
                  <wp:effectExtent l="0" t="0" r="889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2160" cy="772160"/>
                          </a:xfrm>
                          <a:prstGeom prst="rect">
                            <a:avLst/>
                          </a:prstGeom>
                        </pic:spPr>
                      </pic:pic>
                    </a:graphicData>
                  </a:graphic>
                  <wp14:sizeRelH relativeFrom="page">
                    <wp14:pctWidth>0</wp14:pctWidth>
                  </wp14:sizeRelH>
                  <wp14:sizeRelV relativeFrom="page">
                    <wp14:pctHeight>0</wp14:pctHeight>
                  </wp14:sizeRelV>
                </wp:anchor>
              </w:drawing>
            </w:r>
            <w:r w:rsidR="008A35AB">
              <w:rPr>
                <w:rFonts w:ascii="Arial" w:eastAsia="Arial" w:hAnsi="Arial" w:cs="Arial"/>
                <w:b/>
                <w:i/>
              </w:rPr>
              <w:t>Criterio del voto</w:t>
            </w:r>
            <w:r w:rsidR="008A35AB">
              <w:rPr>
                <w:rFonts w:ascii="Arial" w:eastAsia="Arial" w:hAnsi="Arial" w:cs="Arial"/>
                <w:i/>
              </w:rPr>
              <w:t xml:space="preserve">: </w:t>
            </w:r>
            <w:r w:rsidR="008A35AB" w:rsidRPr="008A35AB">
              <w:rPr>
                <w:rFonts w:ascii="Arial" w:eastAsia="Arial" w:hAnsi="Arial" w:cs="Arial"/>
                <w:i/>
              </w:rPr>
              <w:t>La</w:t>
            </w:r>
            <w:r w:rsidR="00AE4BEB">
              <w:rPr>
                <w:rFonts w:ascii="Arial" w:eastAsia="Arial" w:hAnsi="Arial" w:cs="Arial"/>
                <w:i/>
              </w:rPr>
              <w:t xml:space="preserve"> extinta</w:t>
            </w:r>
            <w:r w:rsidR="008A35AB" w:rsidRPr="008A35AB">
              <w:rPr>
                <w:rFonts w:ascii="Arial" w:eastAsia="Arial" w:hAnsi="Arial" w:cs="Arial"/>
                <w:i/>
              </w:rPr>
              <w:t xml:space="preserve"> </w:t>
            </w:r>
            <w:r w:rsidR="008A35AB">
              <w:rPr>
                <w:rFonts w:ascii="Arial" w:eastAsia="Arial" w:hAnsi="Arial" w:cs="Arial"/>
                <w:i/>
              </w:rPr>
              <w:t xml:space="preserve">Primera Sala de la </w:t>
            </w:r>
            <w:r w:rsidR="00AE4BEB">
              <w:rPr>
                <w:rFonts w:ascii="Arial" w:eastAsia="Arial" w:hAnsi="Arial" w:cs="Arial"/>
                <w:i/>
              </w:rPr>
              <w:t xml:space="preserve">Suprema Corte </w:t>
            </w:r>
            <w:r w:rsidR="008A35AB" w:rsidRPr="008A35AB">
              <w:rPr>
                <w:rFonts w:ascii="Arial" w:eastAsia="Arial" w:hAnsi="Arial" w:cs="Arial"/>
                <w:i/>
              </w:rPr>
              <w:t xml:space="preserve">perdió la oportunidad de definir un criterio </w:t>
            </w:r>
            <w:r w:rsidR="00AE4BEB">
              <w:rPr>
                <w:rFonts w:ascii="Arial" w:eastAsia="Arial" w:hAnsi="Arial" w:cs="Arial"/>
                <w:i/>
              </w:rPr>
              <w:t>uniforme sobre la aplicación temporal</w:t>
            </w:r>
            <w:r w:rsidR="008A35AB" w:rsidRPr="008A35AB">
              <w:rPr>
                <w:rFonts w:ascii="Arial" w:eastAsia="Arial" w:hAnsi="Arial" w:cs="Arial"/>
                <w:i/>
              </w:rPr>
              <w:t xml:space="preserve"> de la jurisprudencia en materia de emplazamientos</w:t>
            </w:r>
            <w:r w:rsidR="00AE4BEB">
              <w:rPr>
                <w:rFonts w:ascii="Arial" w:eastAsia="Arial" w:hAnsi="Arial" w:cs="Arial"/>
                <w:i/>
              </w:rPr>
              <w:t xml:space="preserve"> (y sus requisitos)</w:t>
            </w:r>
            <w:r w:rsidR="008A35AB" w:rsidRPr="008A35AB">
              <w:rPr>
                <w:rFonts w:ascii="Arial" w:eastAsia="Arial" w:hAnsi="Arial" w:cs="Arial"/>
                <w:i/>
              </w:rPr>
              <w:t>. La ausencia de ese parámetro ha de</w:t>
            </w:r>
            <w:r w:rsidR="008A35AB">
              <w:rPr>
                <w:rFonts w:ascii="Arial" w:eastAsia="Arial" w:hAnsi="Arial" w:cs="Arial"/>
                <w:i/>
              </w:rPr>
              <w:t>jado a los tribunales colegiados</w:t>
            </w:r>
            <w:r w:rsidR="008A35AB" w:rsidRPr="008A35AB">
              <w:rPr>
                <w:rFonts w:ascii="Arial" w:eastAsia="Arial" w:hAnsi="Arial" w:cs="Arial"/>
                <w:i/>
              </w:rPr>
              <w:t xml:space="preserve"> frente a un problema no resuelto que impacta directamente en la</w:t>
            </w:r>
            <w:r w:rsidR="00AE4BEB">
              <w:rPr>
                <w:rFonts w:ascii="Arial" w:eastAsia="Arial" w:hAnsi="Arial" w:cs="Arial"/>
                <w:i/>
              </w:rPr>
              <w:t xml:space="preserve"> seguridad jurídica)</w:t>
            </w:r>
            <w:r w:rsidR="008A35AB" w:rsidRPr="008A35AB">
              <w:rPr>
                <w:rFonts w:ascii="Arial" w:eastAsia="Arial" w:hAnsi="Arial" w:cs="Arial"/>
                <w:i/>
              </w:rPr>
              <w:t>.</w:t>
            </w:r>
          </w:p>
          <w:p w14:paraId="0C1CE7F9" w14:textId="3C80DE59" w:rsidR="00752DA7" w:rsidRDefault="00752DA7" w:rsidP="00752DA7">
            <w:pPr>
              <w:spacing w:line="360" w:lineRule="auto"/>
              <w:jc w:val="both"/>
              <w:rPr>
                <w:rFonts w:ascii="Arial" w:eastAsia="Arial" w:hAnsi="Arial" w:cs="Arial"/>
                <w:b/>
                <w:i/>
              </w:rPr>
            </w:pPr>
            <w:r>
              <w:rPr>
                <w:rFonts w:ascii="Arial" w:eastAsia="Arial" w:hAnsi="Arial" w:cs="Arial"/>
                <w:b/>
                <w:i/>
              </w:rPr>
              <w:t xml:space="preserve">       </w:t>
            </w:r>
            <w:r w:rsidR="008A35AB">
              <w:rPr>
                <w:rFonts w:ascii="Arial" w:eastAsia="Arial" w:hAnsi="Arial" w:cs="Arial"/>
                <w:b/>
                <w:i/>
              </w:rPr>
              <w:t xml:space="preserve">Video de la sesión: </w:t>
            </w:r>
            <w:hyperlink r:id="rId11" w:history="1">
              <w:r w:rsidR="0081791E" w:rsidRPr="00752DA7">
                <w:rPr>
                  <w:rStyle w:val="Hipervnculo"/>
                  <w:rFonts w:ascii="Arial" w:eastAsia="Arial" w:hAnsi="Arial" w:cs="Arial"/>
                  <w:b/>
                  <w:i/>
                </w:rPr>
                <w:t>[</w:t>
              </w:r>
              <w:proofErr w:type="spellStart"/>
              <w:r w:rsidRPr="00752DA7">
                <w:rPr>
                  <w:rStyle w:val="Hipervnculo"/>
                  <w:b/>
                </w:rPr>
                <w:t>Click</w:t>
              </w:r>
              <w:proofErr w:type="spellEnd"/>
              <w:r w:rsidRPr="00752DA7">
                <w:rPr>
                  <w:rStyle w:val="Hipervnculo"/>
                  <w:b/>
                </w:rPr>
                <w:t xml:space="preserve"> aquí</w:t>
              </w:r>
              <w:r w:rsidR="008A35AB" w:rsidRPr="00752DA7">
                <w:rPr>
                  <w:rStyle w:val="Hipervnculo"/>
                  <w:rFonts w:ascii="Arial" w:eastAsia="Arial" w:hAnsi="Arial" w:cs="Arial"/>
                  <w:b/>
                  <w:i/>
                </w:rPr>
                <w:t>]</w:t>
              </w:r>
            </w:hyperlink>
          </w:p>
          <w:p w14:paraId="41AD4F4A" w14:textId="36DECC82" w:rsidR="008A35AB" w:rsidRDefault="00752DA7" w:rsidP="00752DA7">
            <w:pPr>
              <w:spacing w:line="360" w:lineRule="auto"/>
              <w:jc w:val="both"/>
              <w:rPr>
                <w:rFonts w:ascii="Arial" w:eastAsia="Arial" w:hAnsi="Arial" w:cs="Arial"/>
                <w:b/>
                <w:i/>
                <w:sz w:val="26"/>
                <w:szCs w:val="26"/>
                <w:highlight w:val="yellow"/>
              </w:rPr>
            </w:pPr>
            <w:r>
              <w:rPr>
                <w:rFonts w:ascii="Arial" w:eastAsia="Arial" w:hAnsi="Arial" w:cs="Arial"/>
                <w:b/>
                <w:i/>
              </w:rPr>
              <w:t xml:space="preserve">                    Minuto: </w:t>
            </w:r>
            <w:r w:rsidRPr="00752DA7">
              <w:rPr>
                <w:rFonts w:ascii="Arial" w:eastAsia="Arial" w:hAnsi="Arial" w:cs="Arial"/>
                <w:b/>
                <w:i/>
              </w:rPr>
              <w:t>02:02:12</w:t>
            </w:r>
          </w:p>
        </w:tc>
      </w:tr>
    </w:tbl>
    <w:p w14:paraId="00000003" w14:textId="77777777" w:rsidR="002C2CEC" w:rsidRDefault="002C2CEC">
      <w:pPr>
        <w:spacing w:line="360" w:lineRule="auto"/>
        <w:jc w:val="both"/>
        <w:rPr>
          <w:rFonts w:ascii="Arial" w:eastAsia="Arial" w:hAnsi="Arial" w:cs="Arial"/>
          <w:color w:val="000000"/>
          <w:sz w:val="26"/>
          <w:szCs w:val="26"/>
        </w:rPr>
      </w:pPr>
    </w:p>
    <w:p w14:paraId="00000004" w14:textId="77777777" w:rsidR="002C2CEC" w:rsidRPr="008A35AB" w:rsidRDefault="00CA258F">
      <w:pPr>
        <w:spacing w:line="360" w:lineRule="auto"/>
        <w:jc w:val="both"/>
        <w:rPr>
          <w:rFonts w:ascii="Arial" w:eastAsia="Arial" w:hAnsi="Arial" w:cs="Arial"/>
          <w:sz w:val="26"/>
          <w:szCs w:val="26"/>
        </w:rPr>
      </w:pPr>
      <w:r w:rsidRPr="008A35AB">
        <w:rPr>
          <w:rFonts w:ascii="Arial" w:eastAsia="Arial" w:hAnsi="Arial" w:cs="Arial"/>
          <w:color w:val="000000"/>
          <w:sz w:val="26"/>
          <w:szCs w:val="26"/>
        </w:rPr>
        <w:t xml:space="preserve">En sesión de </w:t>
      </w:r>
      <w:r w:rsidRPr="008A35AB">
        <w:rPr>
          <w:rFonts w:ascii="Arial" w:eastAsia="Arial" w:hAnsi="Arial" w:cs="Arial"/>
          <w:sz w:val="26"/>
          <w:szCs w:val="26"/>
        </w:rPr>
        <w:t xml:space="preserve">quince </w:t>
      </w:r>
      <w:r w:rsidRPr="008A35AB">
        <w:rPr>
          <w:rFonts w:ascii="Arial" w:eastAsia="Arial" w:hAnsi="Arial" w:cs="Arial"/>
          <w:color w:val="000000"/>
          <w:sz w:val="26"/>
          <w:szCs w:val="26"/>
        </w:rPr>
        <w:t xml:space="preserve">de octubre de dos mil veinticinco, el Décimo Tribunal Colegiado en Materia Civil del Primer Circuito resolvió, por unanimidad, </w:t>
      </w:r>
      <w:r w:rsidRPr="008A35AB">
        <w:rPr>
          <w:rFonts w:ascii="Arial" w:eastAsia="Arial" w:hAnsi="Arial" w:cs="Arial"/>
          <w:sz w:val="26"/>
          <w:szCs w:val="26"/>
        </w:rPr>
        <w:t>modificar la sentencia dictada en audiencia constitucional de cuatro de febrero de dos mil veinticinco, engrosada el veintiocho de abril del mismo año, por el secretario en funciones d Juez Noveno de Distrito en Materia Civil en la Ciudad de México, en el juicio de amparo indirecto 303/2020-III.</w:t>
      </w:r>
    </w:p>
    <w:p w14:paraId="00000005" w14:textId="77777777" w:rsidR="002C2CEC" w:rsidRDefault="002C2CEC">
      <w:pPr>
        <w:spacing w:line="360" w:lineRule="auto"/>
        <w:jc w:val="both"/>
        <w:rPr>
          <w:rFonts w:ascii="Arial" w:eastAsia="Arial" w:hAnsi="Arial" w:cs="Arial"/>
          <w:sz w:val="26"/>
          <w:szCs w:val="26"/>
          <w:highlight w:val="yellow"/>
        </w:rPr>
      </w:pPr>
    </w:p>
    <w:p w14:paraId="00000006" w14:textId="77777777" w:rsidR="002C2CEC" w:rsidRDefault="00CA258F">
      <w:pPr>
        <w:spacing w:line="360" w:lineRule="auto"/>
        <w:jc w:val="both"/>
        <w:rPr>
          <w:rFonts w:ascii="Arial" w:eastAsia="Arial" w:hAnsi="Arial" w:cs="Arial"/>
          <w:b/>
          <w:color w:val="366091"/>
          <w:sz w:val="26"/>
          <w:szCs w:val="26"/>
        </w:rPr>
      </w:pPr>
      <w:r>
        <w:rPr>
          <w:rFonts w:ascii="Arial" w:eastAsia="Arial" w:hAnsi="Arial" w:cs="Arial"/>
          <w:b/>
          <w:color w:val="366091"/>
          <w:sz w:val="26"/>
          <w:szCs w:val="26"/>
        </w:rPr>
        <w:t xml:space="preserve">I. </w:t>
      </w:r>
      <w:r w:rsidRPr="008A35AB">
        <w:rPr>
          <w:rFonts w:ascii="Arial" w:eastAsia="Arial" w:hAnsi="Arial" w:cs="Arial"/>
          <w:b/>
          <w:color w:val="366091"/>
          <w:sz w:val="30"/>
          <w:szCs w:val="30"/>
        </w:rPr>
        <w:t>Planteamiento del problema</w:t>
      </w:r>
    </w:p>
    <w:p w14:paraId="35D92131" w14:textId="2F2D6E02" w:rsidR="008A35AB" w:rsidRDefault="008A35AB" w:rsidP="008A35AB">
      <w:pPr>
        <w:spacing w:line="360" w:lineRule="auto"/>
        <w:jc w:val="both"/>
        <w:rPr>
          <w:rFonts w:ascii="Arial" w:eastAsia="Arial" w:hAnsi="Arial" w:cs="Arial"/>
          <w:color w:val="000000"/>
          <w:sz w:val="26"/>
          <w:szCs w:val="26"/>
        </w:rPr>
      </w:pPr>
      <w:r w:rsidRPr="008A35AB">
        <w:rPr>
          <w:rFonts w:ascii="Arial" w:eastAsia="Arial" w:hAnsi="Arial" w:cs="Arial"/>
          <w:color w:val="000000"/>
          <w:sz w:val="26"/>
          <w:szCs w:val="26"/>
        </w:rPr>
        <w:t xml:space="preserve">El asunto que dio origen a esta sentencia coloca nuevamente en el centro del debate judicial la validez de los emplazamientos y, en </w:t>
      </w:r>
      <w:r w:rsidRPr="008A35AB">
        <w:rPr>
          <w:rFonts w:ascii="Arial" w:eastAsia="Arial" w:hAnsi="Arial" w:cs="Arial"/>
          <w:color w:val="000000"/>
          <w:sz w:val="26"/>
          <w:szCs w:val="26"/>
        </w:rPr>
        <w:lastRenderedPageBreak/>
        <w:t>particular, la aplicación temporal de la jurisprudencia que redefine sus requisitos formales. Aunque el caso se resolvió en torno a la irretroactividad de la jurisprudencia 1a./J. 39/2020 (10a.)</w:t>
      </w:r>
      <w:r>
        <w:rPr>
          <w:rFonts w:ascii="Arial" w:eastAsia="Arial" w:hAnsi="Arial" w:cs="Arial"/>
          <w:color w:val="000000"/>
          <w:sz w:val="26"/>
          <w:szCs w:val="26"/>
        </w:rPr>
        <w:t xml:space="preserve"> de rubro </w:t>
      </w:r>
      <w:r w:rsidRPr="00C65AB3">
        <w:rPr>
          <w:rFonts w:ascii="Arial" w:eastAsia="Arial" w:hAnsi="Arial" w:cs="Arial"/>
          <w:i/>
        </w:rPr>
        <w:t>“</w:t>
      </w:r>
      <w:r w:rsidRPr="00C65AB3">
        <w:rPr>
          <w:rFonts w:ascii="Arial" w:hAnsi="Arial" w:cs="Arial"/>
          <w:bCs/>
          <w:i/>
          <w:shd w:val="clear" w:color="auto" w:fill="FFFFFF"/>
        </w:rPr>
        <w:t>EMPLAZAMIENTO. DEBE CONSIDERARSE VÁLIDO SÓLO CUANDO AL REALIZAR LA CERTIFICACIÓN RELATIVA, EL NOTIFICADOR DESCRIBE CUÁLES SON LAS COPIAS DE LOS DOCUMENTOS QUE SE ADJUNTARON A LA DEMANDA CON LAS QUE CORRE TRASLADO</w:t>
      </w:r>
      <w:r w:rsidRPr="00C65AB3">
        <w:rPr>
          <w:b/>
          <w:bCs/>
          <w:sz w:val="23"/>
          <w:szCs w:val="23"/>
          <w:shd w:val="clear" w:color="auto" w:fill="FFFFFF"/>
        </w:rPr>
        <w:t>”</w:t>
      </w:r>
      <w:r w:rsidRPr="00C65AB3">
        <w:rPr>
          <w:rFonts w:ascii="Arial" w:eastAsia="Arial" w:hAnsi="Arial" w:cs="Arial"/>
          <w:sz w:val="26"/>
          <w:szCs w:val="26"/>
        </w:rPr>
        <w:t xml:space="preserve">, </w:t>
      </w:r>
      <w:r w:rsidRPr="008A35AB">
        <w:rPr>
          <w:rFonts w:ascii="Arial" w:eastAsia="Arial" w:hAnsi="Arial" w:cs="Arial"/>
          <w:color w:val="000000"/>
          <w:sz w:val="26"/>
          <w:szCs w:val="26"/>
        </w:rPr>
        <w:t>el problema de fondo trasci</w:t>
      </w:r>
      <w:r>
        <w:rPr>
          <w:rFonts w:ascii="Arial" w:eastAsia="Arial" w:hAnsi="Arial" w:cs="Arial"/>
          <w:color w:val="000000"/>
          <w:sz w:val="26"/>
          <w:szCs w:val="26"/>
        </w:rPr>
        <w:t xml:space="preserve">ende </w:t>
      </w:r>
      <w:r w:rsidR="00FE2C81">
        <w:rPr>
          <w:rFonts w:ascii="Arial" w:eastAsia="Arial" w:hAnsi="Arial" w:cs="Arial"/>
          <w:color w:val="000000"/>
          <w:sz w:val="26"/>
          <w:szCs w:val="26"/>
        </w:rPr>
        <w:t xml:space="preserve">a </w:t>
      </w:r>
      <w:r w:rsidRPr="008A35AB">
        <w:rPr>
          <w:rFonts w:ascii="Arial" w:eastAsia="Arial" w:hAnsi="Arial" w:cs="Arial"/>
          <w:color w:val="000000"/>
          <w:sz w:val="26"/>
          <w:szCs w:val="26"/>
        </w:rPr>
        <w:t xml:space="preserve">un tema de justicia cotidiana que ha sido advertido por múltiples tribunales colegiados y que la Suprema Corte, en su integración anterior, </w:t>
      </w:r>
      <w:r w:rsidRPr="008A35AB">
        <w:rPr>
          <w:rFonts w:ascii="Arial" w:eastAsia="Arial" w:hAnsi="Arial" w:cs="Arial"/>
          <w:b/>
          <w:color w:val="000000"/>
          <w:sz w:val="26"/>
          <w:szCs w:val="26"/>
        </w:rPr>
        <w:t>decidió no abordar de manera definitiva</w:t>
      </w:r>
      <w:r w:rsidR="00227A08">
        <w:rPr>
          <w:rFonts w:ascii="Arial" w:eastAsia="Arial" w:hAnsi="Arial" w:cs="Arial"/>
          <w:color w:val="000000"/>
          <w:sz w:val="26"/>
          <w:szCs w:val="26"/>
        </w:rPr>
        <w:t xml:space="preserve"> al declarar diversas contradicciones de criterios como improcedentes. Lo anterior, al considerar que los elementos para determinar la aplicación retroactiva de una jurisprudencia ya estaban definidos en lo general. </w:t>
      </w:r>
    </w:p>
    <w:p w14:paraId="54377231" w14:textId="0742F762" w:rsidR="00FE2C81" w:rsidRPr="008A35AB" w:rsidRDefault="00FE2C81" w:rsidP="00FE2C81">
      <w:pPr>
        <w:spacing w:line="360" w:lineRule="auto"/>
        <w:jc w:val="both"/>
        <w:rPr>
          <w:rFonts w:ascii="Arial" w:eastAsia="Arial" w:hAnsi="Arial" w:cs="Arial"/>
          <w:color w:val="000000"/>
          <w:sz w:val="26"/>
          <w:szCs w:val="26"/>
        </w:rPr>
      </w:pPr>
      <w:r w:rsidRPr="00FE2C81">
        <w:rPr>
          <w:rFonts w:ascii="Arial" w:eastAsia="Arial" w:hAnsi="Arial" w:cs="Arial"/>
          <w:color w:val="000000"/>
          <w:sz w:val="26"/>
          <w:szCs w:val="26"/>
        </w:rPr>
        <w:t>En distintas contradicciones de criterios, la Primera Sala había enfrentado cuestionamientos sob</w:t>
      </w:r>
      <w:r>
        <w:rPr>
          <w:rFonts w:ascii="Arial" w:eastAsia="Arial" w:hAnsi="Arial" w:cs="Arial"/>
          <w:color w:val="000000"/>
          <w:sz w:val="26"/>
          <w:szCs w:val="26"/>
        </w:rPr>
        <w:t xml:space="preserve">re los efectos temporales de la jurisprudencia mencionada. </w:t>
      </w:r>
      <w:r w:rsidRPr="00FE2C81">
        <w:rPr>
          <w:rFonts w:ascii="Arial" w:eastAsia="Arial" w:hAnsi="Arial" w:cs="Arial"/>
          <w:color w:val="000000"/>
          <w:sz w:val="26"/>
          <w:szCs w:val="26"/>
        </w:rPr>
        <w:t>Sin embargo, en cada ocasión o</w:t>
      </w:r>
      <w:r>
        <w:rPr>
          <w:rFonts w:ascii="Arial" w:eastAsia="Arial" w:hAnsi="Arial" w:cs="Arial"/>
          <w:color w:val="000000"/>
          <w:sz w:val="26"/>
          <w:szCs w:val="26"/>
        </w:rPr>
        <w:t>ptó por declarar la improcedencia</w:t>
      </w:r>
      <w:r w:rsidRPr="00FE2C81">
        <w:rPr>
          <w:rFonts w:ascii="Arial" w:eastAsia="Arial" w:hAnsi="Arial" w:cs="Arial"/>
          <w:color w:val="000000"/>
          <w:sz w:val="26"/>
          <w:szCs w:val="26"/>
        </w:rPr>
        <w:t xml:space="preserve"> de contradicción, bajo el argumento de que los tribunales de circuito habían aplicado los mismos precedentes sin generar criterios propios. Esa línea de d</w:t>
      </w:r>
      <w:r>
        <w:rPr>
          <w:rFonts w:ascii="Arial" w:eastAsia="Arial" w:hAnsi="Arial" w:cs="Arial"/>
          <w:color w:val="000000"/>
          <w:sz w:val="26"/>
          <w:szCs w:val="26"/>
        </w:rPr>
        <w:t xml:space="preserve">ecisiones, aunque </w:t>
      </w:r>
      <w:r w:rsidRPr="00FE2C81">
        <w:rPr>
          <w:rFonts w:ascii="Arial" w:eastAsia="Arial" w:hAnsi="Arial" w:cs="Arial"/>
          <w:color w:val="000000"/>
          <w:sz w:val="26"/>
          <w:szCs w:val="26"/>
        </w:rPr>
        <w:t>comprensible, desatendió el tra</w:t>
      </w:r>
      <w:r>
        <w:rPr>
          <w:rFonts w:ascii="Arial" w:eastAsia="Arial" w:hAnsi="Arial" w:cs="Arial"/>
          <w:color w:val="000000"/>
          <w:sz w:val="26"/>
          <w:szCs w:val="26"/>
        </w:rPr>
        <w:t>sfondo estructural del problema, que desde mi perspectiva, tiene que ver con</w:t>
      </w:r>
      <w:r w:rsidRPr="00FE2C81">
        <w:rPr>
          <w:rFonts w:ascii="Arial" w:eastAsia="Arial" w:hAnsi="Arial" w:cs="Arial"/>
          <w:color w:val="000000"/>
          <w:sz w:val="26"/>
          <w:szCs w:val="26"/>
        </w:rPr>
        <w:t xml:space="preserve"> la incertidumbre sobre cuánd</w:t>
      </w:r>
      <w:r>
        <w:rPr>
          <w:rFonts w:ascii="Arial" w:eastAsia="Arial" w:hAnsi="Arial" w:cs="Arial"/>
          <w:color w:val="000000"/>
          <w:sz w:val="26"/>
          <w:szCs w:val="26"/>
        </w:rPr>
        <w:t>o esta</w:t>
      </w:r>
      <w:r w:rsidRPr="00FE2C81">
        <w:rPr>
          <w:rFonts w:ascii="Arial" w:eastAsia="Arial" w:hAnsi="Arial" w:cs="Arial"/>
          <w:color w:val="000000"/>
          <w:sz w:val="26"/>
          <w:szCs w:val="26"/>
        </w:rPr>
        <w:t xml:space="preserve"> jurisprudencia </w:t>
      </w:r>
      <w:r>
        <w:rPr>
          <w:rFonts w:ascii="Arial" w:eastAsia="Arial" w:hAnsi="Arial" w:cs="Arial"/>
          <w:color w:val="000000"/>
          <w:sz w:val="26"/>
          <w:szCs w:val="26"/>
        </w:rPr>
        <w:t xml:space="preserve">en concreto </w:t>
      </w:r>
      <w:r w:rsidRPr="00FE2C81">
        <w:rPr>
          <w:rFonts w:ascii="Arial" w:eastAsia="Arial" w:hAnsi="Arial" w:cs="Arial"/>
          <w:color w:val="000000"/>
          <w:sz w:val="26"/>
          <w:szCs w:val="26"/>
        </w:rPr>
        <w:t>modifica válidamente los parámetros de legalidad de los actos procesales practicados con anterioridad.</w:t>
      </w:r>
    </w:p>
    <w:p w14:paraId="5B94605A" w14:textId="56271BF7" w:rsidR="00227A08" w:rsidRDefault="008A35AB" w:rsidP="008A35AB">
      <w:pPr>
        <w:spacing w:line="360" w:lineRule="auto"/>
        <w:jc w:val="both"/>
        <w:rPr>
          <w:rFonts w:ascii="Arial" w:eastAsia="Arial" w:hAnsi="Arial" w:cs="Arial"/>
          <w:color w:val="000000"/>
          <w:sz w:val="26"/>
          <w:szCs w:val="26"/>
        </w:rPr>
      </w:pPr>
      <w:r>
        <w:rPr>
          <w:rFonts w:ascii="Arial" w:eastAsia="Arial" w:hAnsi="Arial" w:cs="Arial"/>
          <w:color w:val="000000"/>
          <w:sz w:val="26"/>
          <w:szCs w:val="26"/>
        </w:rPr>
        <w:t xml:space="preserve">Cuando fui secretario de estudio y cuenta, en su momento adscrito a la Primera Sala, tuve la posibilidad de apreciar </w:t>
      </w:r>
      <w:r w:rsidRPr="008A35AB">
        <w:rPr>
          <w:rFonts w:ascii="Arial" w:eastAsia="Arial" w:hAnsi="Arial" w:cs="Arial"/>
          <w:color w:val="000000"/>
          <w:sz w:val="26"/>
          <w:szCs w:val="26"/>
        </w:rPr>
        <w:t xml:space="preserve">la discusión en la </w:t>
      </w:r>
      <w:r w:rsidRPr="00227A08">
        <w:rPr>
          <w:rFonts w:ascii="Arial" w:eastAsia="Arial" w:hAnsi="Arial" w:cs="Arial"/>
          <w:b/>
          <w:color w:val="000000"/>
          <w:sz w:val="26"/>
          <w:szCs w:val="26"/>
        </w:rPr>
        <w:t>contradicción de criterios 93/2024</w:t>
      </w:r>
      <w:r w:rsidRPr="008A35AB">
        <w:rPr>
          <w:rFonts w:ascii="Arial" w:eastAsia="Arial" w:hAnsi="Arial" w:cs="Arial"/>
          <w:color w:val="000000"/>
          <w:sz w:val="26"/>
          <w:szCs w:val="26"/>
        </w:rPr>
        <w:t>, celebrada el 3 de julio de 2024, en la cual la ministra Loretta Ortiz Ahlf —</w:t>
      </w:r>
      <w:r w:rsidRPr="00227A08">
        <w:rPr>
          <w:rFonts w:ascii="Arial" w:eastAsia="Arial" w:hAnsi="Arial" w:cs="Arial"/>
          <w:i/>
          <w:color w:val="000000"/>
          <w:sz w:val="26"/>
          <w:szCs w:val="26"/>
        </w:rPr>
        <w:t xml:space="preserve">única integrante de la extinta Primera Sala </w:t>
      </w:r>
      <w:r w:rsidRPr="007C6B8A">
        <w:rPr>
          <w:rFonts w:ascii="Arial" w:eastAsia="Arial" w:hAnsi="Arial" w:cs="Arial"/>
          <w:b/>
          <w:i/>
          <w:color w:val="000000"/>
          <w:sz w:val="26"/>
          <w:szCs w:val="26"/>
          <w:u w:val="single"/>
        </w:rPr>
        <w:t>que permanece en la actual integración de la Corte</w:t>
      </w:r>
      <w:r>
        <w:rPr>
          <w:rFonts w:ascii="Arial" w:eastAsia="Arial" w:hAnsi="Arial" w:cs="Arial"/>
          <w:color w:val="000000"/>
          <w:sz w:val="26"/>
          <w:szCs w:val="26"/>
        </w:rPr>
        <w:t xml:space="preserve">— sostuvo </w:t>
      </w:r>
      <w:r w:rsidRPr="008A35AB">
        <w:rPr>
          <w:rFonts w:ascii="Arial" w:eastAsia="Arial" w:hAnsi="Arial" w:cs="Arial"/>
          <w:color w:val="000000"/>
          <w:sz w:val="26"/>
          <w:szCs w:val="26"/>
        </w:rPr>
        <w:t>que los tribun</w:t>
      </w:r>
      <w:r w:rsidR="00227A08">
        <w:rPr>
          <w:rFonts w:ascii="Arial" w:eastAsia="Arial" w:hAnsi="Arial" w:cs="Arial"/>
          <w:color w:val="000000"/>
          <w:sz w:val="26"/>
          <w:szCs w:val="26"/>
        </w:rPr>
        <w:t xml:space="preserve">ales contendientes, en aquél caso, </w:t>
      </w:r>
      <w:r w:rsidRPr="008A35AB">
        <w:rPr>
          <w:rFonts w:ascii="Arial" w:eastAsia="Arial" w:hAnsi="Arial" w:cs="Arial"/>
          <w:color w:val="000000"/>
          <w:sz w:val="26"/>
          <w:szCs w:val="26"/>
        </w:rPr>
        <w:t>sí formularon criterios propios sobre la aplicación retroactiva de la jurisprudencia 1a./J. 39/2020 (10a.)</w:t>
      </w:r>
      <w:r w:rsidR="00227A08">
        <w:rPr>
          <w:rFonts w:ascii="Arial" w:eastAsia="Arial" w:hAnsi="Arial" w:cs="Arial"/>
          <w:color w:val="000000"/>
          <w:sz w:val="26"/>
          <w:szCs w:val="26"/>
        </w:rPr>
        <w:t xml:space="preserve"> antes citada.</w:t>
      </w:r>
      <w:r w:rsidR="00FE2C81">
        <w:rPr>
          <w:rFonts w:ascii="Arial" w:eastAsia="Arial" w:hAnsi="Arial" w:cs="Arial"/>
          <w:color w:val="000000"/>
          <w:sz w:val="26"/>
          <w:szCs w:val="26"/>
        </w:rPr>
        <w:t xml:space="preserve"> Coincido en los sustantivo con el voto disidente. </w:t>
      </w:r>
    </w:p>
    <w:p w14:paraId="67C3C182" w14:textId="17EFAD3A" w:rsidR="00C65AB3" w:rsidRPr="008A35AB" w:rsidRDefault="00227A08" w:rsidP="008A35AB">
      <w:pPr>
        <w:spacing w:line="360" w:lineRule="auto"/>
        <w:jc w:val="both"/>
        <w:rPr>
          <w:rFonts w:ascii="Arial" w:eastAsia="Arial" w:hAnsi="Arial" w:cs="Arial"/>
          <w:color w:val="000000"/>
          <w:sz w:val="26"/>
          <w:szCs w:val="26"/>
        </w:rPr>
      </w:pPr>
      <w:r>
        <w:rPr>
          <w:rFonts w:ascii="Arial" w:eastAsia="Arial" w:hAnsi="Arial" w:cs="Arial"/>
          <w:color w:val="000000"/>
          <w:sz w:val="26"/>
          <w:szCs w:val="26"/>
        </w:rPr>
        <w:t xml:space="preserve">Es decir, </w:t>
      </w:r>
      <w:r w:rsidR="008A35AB" w:rsidRPr="008A35AB">
        <w:rPr>
          <w:rFonts w:ascii="Arial" w:eastAsia="Arial" w:hAnsi="Arial" w:cs="Arial"/>
          <w:color w:val="000000"/>
          <w:sz w:val="26"/>
          <w:szCs w:val="26"/>
        </w:rPr>
        <w:t xml:space="preserve">pese a haberse apoyado en </w:t>
      </w:r>
      <w:r w:rsidR="007C6B8A">
        <w:rPr>
          <w:rFonts w:ascii="Arial" w:eastAsia="Arial" w:hAnsi="Arial" w:cs="Arial"/>
          <w:color w:val="000000"/>
          <w:sz w:val="26"/>
          <w:szCs w:val="26"/>
        </w:rPr>
        <w:t xml:space="preserve">una diversa jurisprudencia del Pleno </w:t>
      </w:r>
      <w:r>
        <w:rPr>
          <w:rFonts w:ascii="Arial" w:eastAsia="Arial" w:hAnsi="Arial" w:cs="Arial"/>
          <w:color w:val="000000"/>
          <w:sz w:val="26"/>
          <w:szCs w:val="26"/>
        </w:rPr>
        <w:t>(</w:t>
      </w:r>
      <w:r w:rsidR="007C6B8A">
        <w:rPr>
          <w:rFonts w:ascii="Arial" w:eastAsia="Arial" w:hAnsi="Arial" w:cs="Arial"/>
          <w:i/>
          <w:color w:val="000000"/>
          <w:sz w:val="26"/>
          <w:szCs w:val="26"/>
        </w:rPr>
        <w:t xml:space="preserve">la </w:t>
      </w:r>
      <w:r>
        <w:rPr>
          <w:rFonts w:ascii="Arial" w:eastAsia="Arial" w:hAnsi="Arial" w:cs="Arial"/>
          <w:i/>
          <w:color w:val="000000"/>
          <w:sz w:val="26"/>
          <w:szCs w:val="26"/>
        </w:rPr>
        <w:t>gen</w:t>
      </w:r>
      <w:r w:rsidR="007C6B8A">
        <w:rPr>
          <w:rFonts w:ascii="Arial" w:eastAsia="Arial" w:hAnsi="Arial" w:cs="Arial"/>
          <w:i/>
          <w:color w:val="000000"/>
          <w:sz w:val="26"/>
          <w:szCs w:val="26"/>
        </w:rPr>
        <w:t>érica</w:t>
      </w:r>
      <w:r>
        <w:rPr>
          <w:rFonts w:ascii="Arial" w:eastAsia="Arial" w:hAnsi="Arial" w:cs="Arial"/>
          <w:i/>
          <w:color w:val="000000"/>
          <w:sz w:val="26"/>
          <w:szCs w:val="26"/>
        </w:rPr>
        <w:t xml:space="preserve"> para determinar cuándo una jurisprudencia se aplica retroactivamente o no contenidos en el criterio obligatorio </w:t>
      </w:r>
      <w:r w:rsidR="007C6B8A" w:rsidRPr="007C6B8A">
        <w:rPr>
          <w:rFonts w:ascii="Arial" w:eastAsia="Arial" w:hAnsi="Arial" w:cs="Arial"/>
          <w:i/>
          <w:color w:val="000000"/>
          <w:sz w:val="26"/>
          <w:szCs w:val="26"/>
        </w:rPr>
        <w:t>P./J. 2/2018</w:t>
      </w:r>
      <w:r w:rsidR="007C6B8A">
        <w:rPr>
          <w:rFonts w:ascii="Arial" w:eastAsia="Arial" w:hAnsi="Arial" w:cs="Arial"/>
          <w:i/>
          <w:color w:val="000000"/>
          <w:sz w:val="26"/>
          <w:szCs w:val="26"/>
        </w:rPr>
        <w:t xml:space="preserve"> de rubro </w:t>
      </w:r>
      <w:r w:rsidR="007C6B8A" w:rsidRPr="007C6B8A">
        <w:rPr>
          <w:rFonts w:ascii="Arial" w:eastAsia="Arial" w:hAnsi="Arial" w:cs="Arial"/>
          <w:i/>
          <w:color w:val="000000"/>
        </w:rPr>
        <w:t xml:space="preserve">“JURISPRUDENCIA. NO SE ACTUALIZAN EFECTOS RETROACTIVOS </w:t>
      </w:r>
      <w:r w:rsidR="007C6B8A" w:rsidRPr="007C6B8A">
        <w:rPr>
          <w:rFonts w:ascii="Arial" w:eastAsia="Arial" w:hAnsi="Arial" w:cs="Arial"/>
          <w:i/>
          <w:color w:val="000000"/>
        </w:rPr>
        <w:lastRenderedPageBreak/>
        <w:t>RESPECTO DE LA TESIS 1a./J. 97/2013 (10a.) EMITIDA POR LA PRIMERA SALA DE LA SUPREMA CORTE DE JUSTICIA DE LA NACIÓN, AL NO EXISTIR UNA JURISPRUDENCIA PREVIA”</w:t>
      </w:r>
      <w:r w:rsidR="007C6B8A">
        <w:rPr>
          <w:rFonts w:ascii="Arial" w:eastAsia="Arial" w:hAnsi="Arial" w:cs="Arial"/>
          <w:i/>
          <w:color w:val="000000"/>
          <w:sz w:val="26"/>
          <w:szCs w:val="26"/>
        </w:rPr>
        <w:t xml:space="preserve">), </w:t>
      </w:r>
      <w:r w:rsidR="007C6B8A">
        <w:rPr>
          <w:rFonts w:ascii="Arial" w:eastAsia="Arial" w:hAnsi="Arial" w:cs="Arial"/>
          <w:color w:val="000000"/>
          <w:sz w:val="26"/>
          <w:szCs w:val="26"/>
        </w:rPr>
        <w:t>l</w:t>
      </w:r>
      <w:r w:rsidR="008A35AB" w:rsidRPr="008A35AB">
        <w:rPr>
          <w:rFonts w:ascii="Arial" w:eastAsia="Arial" w:hAnsi="Arial" w:cs="Arial"/>
          <w:color w:val="000000"/>
          <w:sz w:val="26"/>
          <w:szCs w:val="26"/>
        </w:rPr>
        <w:t xml:space="preserve">a ministra advirtió que, lejos de ser improcedente, la contradicción planteaba </w:t>
      </w:r>
      <w:r w:rsidR="008A35AB">
        <w:rPr>
          <w:rFonts w:ascii="Arial" w:eastAsia="Arial" w:hAnsi="Arial" w:cs="Arial"/>
          <w:color w:val="000000"/>
          <w:sz w:val="26"/>
          <w:szCs w:val="26"/>
        </w:rPr>
        <w:t xml:space="preserve">un verdadero problema jurídico consistente en </w:t>
      </w:r>
      <w:r w:rsidR="008A35AB" w:rsidRPr="008A35AB">
        <w:rPr>
          <w:rFonts w:ascii="Arial" w:eastAsia="Arial" w:hAnsi="Arial" w:cs="Arial"/>
          <w:color w:val="000000"/>
          <w:sz w:val="26"/>
          <w:szCs w:val="26"/>
        </w:rPr>
        <w:t xml:space="preserve">determinar si era </w:t>
      </w:r>
      <w:r w:rsidR="008A35AB" w:rsidRPr="00227A08">
        <w:rPr>
          <w:rFonts w:ascii="Arial" w:eastAsia="Arial" w:hAnsi="Arial" w:cs="Arial"/>
          <w:b/>
          <w:color w:val="000000"/>
          <w:sz w:val="26"/>
          <w:szCs w:val="26"/>
          <w:u w:val="single"/>
        </w:rPr>
        <w:t>posible aplicar la jurisprudencia sobre emplazamientos a actos procesales practicados antes de su publicación</w:t>
      </w:r>
      <w:r w:rsidR="008A35AB">
        <w:rPr>
          <w:rFonts w:ascii="Arial" w:eastAsia="Arial" w:hAnsi="Arial" w:cs="Arial"/>
          <w:color w:val="000000"/>
          <w:sz w:val="26"/>
          <w:szCs w:val="26"/>
        </w:rPr>
        <w:t>.</w:t>
      </w:r>
      <w:r w:rsidR="00C65AB3">
        <w:rPr>
          <w:rFonts w:ascii="Arial" w:eastAsia="Arial" w:hAnsi="Arial" w:cs="Arial"/>
          <w:color w:val="000000"/>
          <w:sz w:val="26"/>
          <w:szCs w:val="26"/>
        </w:rPr>
        <w:t xml:space="preserve"> Sobre todo porque no está claro si había una jurisprudencia previa que los regulara de alguna forma o de manera distinta. </w:t>
      </w:r>
    </w:p>
    <w:p w14:paraId="47B276FA" w14:textId="17EF4F80" w:rsidR="008A35AB" w:rsidRPr="008A35AB" w:rsidRDefault="00227A08" w:rsidP="008A35AB">
      <w:pPr>
        <w:spacing w:line="360" w:lineRule="auto"/>
        <w:jc w:val="both"/>
        <w:rPr>
          <w:rFonts w:ascii="Arial" w:eastAsia="Arial" w:hAnsi="Arial" w:cs="Arial"/>
          <w:color w:val="000000"/>
          <w:sz w:val="26"/>
          <w:szCs w:val="26"/>
        </w:rPr>
      </w:pPr>
      <w:r>
        <w:rPr>
          <w:rFonts w:ascii="Arial" w:eastAsia="Arial" w:hAnsi="Arial" w:cs="Arial"/>
          <w:color w:val="000000"/>
          <w:sz w:val="26"/>
          <w:szCs w:val="26"/>
        </w:rPr>
        <w:t xml:space="preserve">Dicha postura destacó </w:t>
      </w:r>
      <w:r w:rsidR="008A35AB" w:rsidRPr="008A35AB">
        <w:rPr>
          <w:rFonts w:ascii="Arial" w:eastAsia="Arial" w:hAnsi="Arial" w:cs="Arial"/>
          <w:color w:val="000000"/>
          <w:sz w:val="26"/>
          <w:szCs w:val="26"/>
        </w:rPr>
        <w:t>que un tribunal había considerado que la nueva tesis podía aplicarse retroactivamente por no existir precedente previo, mientras otro estimó que hacerlo vulneraría el principio de irretroactividad al imponer un requisito no previsto por la ley. En esas condiciones, resultaba indispensable que la Suprema Corte fijara un parámetro de transición sobre los efectos temporales</w:t>
      </w:r>
      <w:r w:rsidR="008A35AB">
        <w:rPr>
          <w:rFonts w:ascii="Arial" w:eastAsia="Arial" w:hAnsi="Arial" w:cs="Arial"/>
          <w:color w:val="000000"/>
          <w:sz w:val="26"/>
          <w:szCs w:val="26"/>
        </w:rPr>
        <w:t xml:space="preserve"> de la jurisprudencia procesal.</w:t>
      </w:r>
    </w:p>
    <w:p w14:paraId="00000015" w14:textId="0B65B5FE" w:rsidR="002C2CEC" w:rsidRDefault="008A35AB" w:rsidP="008A35AB">
      <w:pPr>
        <w:spacing w:line="360" w:lineRule="auto"/>
        <w:jc w:val="both"/>
        <w:rPr>
          <w:rFonts w:ascii="Arial" w:eastAsia="Arial" w:hAnsi="Arial" w:cs="Arial"/>
          <w:color w:val="000000"/>
          <w:sz w:val="26"/>
          <w:szCs w:val="26"/>
        </w:rPr>
      </w:pPr>
      <w:r w:rsidRPr="008A35AB">
        <w:rPr>
          <w:rFonts w:ascii="Arial" w:eastAsia="Arial" w:hAnsi="Arial" w:cs="Arial"/>
          <w:color w:val="000000"/>
          <w:sz w:val="26"/>
          <w:szCs w:val="26"/>
        </w:rPr>
        <w:t>Sin embargo</w:t>
      </w:r>
      <w:r w:rsidR="00227A08">
        <w:rPr>
          <w:rFonts w:ascii="Arial" w:eastAsia="Arial" w:hAnsi="Arial" w:cs="Arial"/>
          <w:color w:val="000000"/>
          <w:sz w:val="26"/>
          <w:szCs w:val="26"/>
        </w:rPr>
        <w:t>, la contradicción fue declarada improcedente</w:t>
      </w:r>
      <w:r w:rsidRPr="008A35AB">
        <w:rPr>
          <w:rFonts w:ascii="Arial" w:eastAsia="Arial" w:hAnsi="Arial" w:cs="Arial"/>
          <w:color w:val="000000"/>
          <w:sz w:val="26"/>
          <w:szCs w:val="26"/>
        </w:rPr>
        <w:t xml:space="preserve"> por mayoría, repitiendo el </w:t>
      </w:r>
      <w:r w:rsidR="00227A08">
        <w:rPr>
          <w:rFonts w:ascii="Arial" w:eastAsia="Arial" w:hAnsi="Arial" w:cs="Arial"/>
          <w:color w:val="000000"/>
          <w:sz w:val="26"/>
          <w:szCs w:val="26"/>
        </w:rPr>
        <w:t xml:space="preserve">patrón </w:t>
      </w:r>
      <w:r w:rsidRPr="008A35AB">
        <w:rPr>
          <w:rFonts w:ascii="Arial" w:eastAsia="Arial" w:hAnsi="Arial" w:cs="Arial"/>
          <w:color w:val="000000"/>
          <w:sz w:val="26"/>
          <w:szCs w:val="26"/>
        </w:rPr>
        <w:t xml:space="preserve">que ya había ocurrido en los expedientes </w:t>
      </w:r>
      <w:r w:rsidR="00227A08">
        <w:rPr>
          <w:rFonts w:ascii="Arial" w:eastAsia="Arial" w:hAnsi="Arial" w:cs="Arial"/>
          <w:color w:val="000000"/>
          <w:sz w:val="26"/>
          <w:szCs w:val="26"/>
        </w:rPr>
        <w:t xml:space="preserve">de </w:t>
      </w:r>
      <w:r w:rsidR="00227A08" w:rsidRPr="00227A08">
        <w:rPr>
          <w:rFonts w:ascii="Arial" w:eastAsia="Arial" w:hAnsi="Arial" w:cs="Arial"/>
          <w:b/>
          <w:color w:val="000000"/>
          <w:sz w:val="26"/>
          <w:szCs w:val="26"/>
        </w:rPr>
        <w:t xml:space="preserve">contradicción de criterios 244/2019, </w:t>
      </w:r>
      <w:r w:rsidRPr="00227A08">
        <w:rPr>
          <w:rFonts w:ascii="Arial" w:eastAsia="Arial" w:hAnsi="Arial" w:cs="Arial"/>
          <w:b/>
          <w:color w:val="000000"/>
          <w:sz w:val="26"/>
          <w:szCs w:val="26"/>
        </w:rPr>
        <w:t>168/2022 y 369/2022</w:t>
      </w:r>
      <w:r w:rsidR="00227A08">
        <w:rPr>
          <w:rFonts w:ascii="Arial" w:eastAsia="Arial" w:hAnsi="Arial" w:cs="Arial"/>
          <w:color w:val="000000"/>
          <w:sz w:val="26"/>
          <w:szCs w:val="26"/>
        </w:rPr>
        <w:t>, por mencionar algunos</w:t>
      </w:r>
      <w:r w:rsidRPr="008A35AB">
        <w:rPr>
          <w:rFonts w:ascii="Arial" w:eastAsia="Arial" w:hAnsi="Arial" w:cs="Arial"/>
          <w:color w:val="000000"/>
          <w:sz w:val="26"/>
          <w:szCs w:val="26"/>
        </w:rPr>
        <w:t>. De esa manera, se cerró un cauce institucional que habría permitido resolver una cuestión que afecta directamente a miles de juicios en los que el emplazamiento constituye la puerta de entrada al debido proceso.</w:t>
      </w:r>
    </w:p>
    <w:p w14:paraId="580386D9" w14:textId="77777777" w:rsidR="00227A08" w:rsidRDefault="00227A08" w:rsidP="008A35AB">
      <w:pPr>
        <w:spacing w:line="360" w:lineRule="auto"/>
        <w:jc w:val="both"/>
        <w:rPr>
          <w:rFonts w:ascii="Arial" w:eastAsia="Arial" w:hAnsi="Arial" w:cs="Arial"/>
          <w:color w:val="000000"/>
          <w:sz w:val="26"/>
          <w:szCs w:val="26"/>
        </w:rPr>
      </w:pPr>
    </w:p>
    <w:p w14:paraId="00000016" w14:textId="77777777" w:rsidR="002C2CEC" w:rsidRDefault="00CA258F">
      <w:pPr>
        <w:spacing w:line="360" w:lineRule="auto"/>
        <w:jc w:val="both"/>
        <w:rPr>
          <w:rFonts w:ascii="Arial" w:eastAsia="Arial" w:hAnsi="Arial" w:cs="Arial"/>
          <w:b/>
          <w:color w:val="000000"/>
          <w:sz w:val="30"/>
          <w:szCs w:val="30"/>
        </w:rPr>
      </w:pPr>
      <w:r>
        <w:rPr>
          <w:rFonts w:ascii="Arial" w:eastAsia="Arial" w:hAnsi="Arial" w:cs="Arial"/>
          <w:b/>
          <w:color w:val="366091"/>
          <w:sz w:val="30"/>
          <w:szCs w:val="30"/>
        </w:rPr>
        <w:t>II. Razones de mi concurrencia</w:t>
      </w:r>
    </w:p>
    <w:p w14:paraId="59366B39" w14:textId="2BA38F2B" w:rsidR="007C6B8A" w:rsidRPr="007C6B8A" w:rsidRDefault="007C6B8A" w:rsidP="007C6B8A">
      <w:pPr>
        <w:spacing w:line="360" w:lineRule="auto"/>
        <w:jc w:val="both"/>
        <w:rPr>
          <w:rFonts w:ascii="Arial" w:eastAsia="Arial" w:hAnsi="Arial" w:cs="Arial"/>
          <w:color w:val="000000"/>
          <w:sz w:val="26"/>
          <w:szCs w:val="26"/>
        </w:rPr>
      </w:pPr>
      <w:r w:rsidRPr="007C6B8A">
        <w:rPr>
          <w:rFonts w:ascii="Arial" w:eastAsia="Arial" w:hAnsi="Arial" w:cs="Arial"/>
          <w:color w:val="000000"/>
          <w:sz w:val="26"/>
          <w:szCs w:val="26"/>
        </w:rPr>
        <w:t>Acompaño el sentido de la resolución porque co</w:t>
      </w:r>
      <w:r w:rsidR="008973D2">
        <w:rPr>
          <w:rFonts w:ascii="Arial" w:eastAsia="Arial" w:hAnsi="Arial" w:cs="Arial"/>
          <w:color w:val="000000"/>
          <w:sz w:val="26"/>
          <w:szCs w:val="26"/>
        </w:rPr>
        <w:t>mpar</w:t>
      </w:r>
      <w:r w:rsidR="00FE2C81">
        <w:rPr>
          <w:rFonts w:ascii="Arial" w:eastAsia="Arial" w:hAnsi="Arial" w:cs="Arial"/>
          <w:color w:val="000000"/>
          <w:sz w:val="26"/>
          <w:szCs w:val="26"/>
        </w:rPr>
        <w:t xml:space="preserve">to el estudio de retroactividad. </w:t>
      </w:r>
      <w:r w:rsidR="008973D2">
        <w:rPr>
          <w:rFonts w:ascii="Arial" w:eastAsia="Arial" w:hAnsi="Arial" w:cs="Arial"/>
          <w:color w:val="000000"/>
          <w:sz w:val="26"/>
          <w:szCs w:val="26"/>
        </w:rPr>
        <w:t xml:space="preserve">Lo hago con el convencimiento de que la Corte en los asuntos referidos, al momento de declarar improcedentes los asuntos, </w:t>
      </w:r>
      <w:r w:rsidR="008973D2" w:rsidRPr="00C65AB3">
        <w:rPr>
          <w:rFonts w:ascii="Arial" w:eastAsia="Arial" w:hAnsi="Arial" w:cs="Arial"/>
          <w:b/>
          <w:color w:val="000000"/>
          <w:sz w:val="26"/>
          <w:szCs w:val="26"/>
          <w:u w:val="single"/>
        </w:rPr>
        <w:t>fijó un criterio implícito no obligatorio sobre el caso</w:t>
      </w:r>
      <w:r w:rsidR="00C65AB3" w:rsidRPr="00C65AB3">
        <w:rPr>
          <w:rFonts w:ascii="Arial" w:eastAsia="Arial" w:hAnsi="Arial" w:cs="Arial"/>
          <w:b/>
          <w:color w:val="000000"/>
          <w:sz w:val="26"/>
          <w:szCs w:val="26"/>
          <w:u w:val="single"/>
        </w:rPr>
        <w:t xml:space="preserve"> que es coincidente con la presente sentencia</w:t>
      </w:r>
      <w:r w:rsidRPr="007C6B8A">
        <w:rPr>
          <w:rFonts w:ascii="Arial" w:eastAsia="Arial" w:hAnsi="Arial" w:cs="Arial"/>
          <w:color w:val="000000"/>
          <w:sz w:val="26"/>
          <w:szCs w:val="26"/>
        </w:rPr>
        <w:t>. Sin embargo, considero necesario dejar constan</w:t>
      </w:r>
      <w:r w:rsidR="008973D2">
        <w:rPr>
          <w:rFonts w:ascii="Arial" w:eastAsia="Arial" w:hAnsi="Arial" w:cs="Arial"/>
          <w:color w:val="000000"/>
          <w:sz w:val="26"/>
          <w:szCs w:val="26"/>
        </w:rPr>
        <w:t>cia de una reflexión más amplia, pues sigue siendo un problema el hecho de</w:t>
      </w:r>
      <w:r w:rsidRPr="007C6B8A">
        <w:rPr>
          <w:rFonts w:ascii="Arial" w:eastAsia="Arial" w:hAnsi="Arial" w:cs="Arial"/>
          <w:color w:val="000000"/>
          <w:sz w:val="26"/>
          <w:szCs w:val="26"/>
        </w:rPr>
        <w:t xml:space="preserve"> la falta de un criterio uniforme so</w:t>
      </w:r>
      <w:r w:rsidR="008973D2">
        <w:rPr>
          <w:rFonts w:ascii="Arial" w:eastAsia="Arial" w:hAnsi="Arial" w:cs="Arial"/>
          <w:color w:val="000000"/>
          <w:sz w:val="26"/>
          <w:szCs w:val="26"/>
        </w:rPr>
        <w:t>bre los efectos temporales de esta</w:t>
      </w:r>
      <w:r w:rsidRPr="007C6B8A">
        <w:rPr>
          <w:rFonts w:ascii="Arial" w:eastAsia="Arial" w:hAnsi="Arial" w:cs="Arial"/>
          <w:color w:val="000000"/>
          <w:sz w:val="26"/>
          <w:szCs w:val="26"/>
        </w:rPr>
        <w:t xml:space="preserve"> jurisprudencia procesal </w:t>
      </w:r>
      <w:r w:rsidR="008973D2">
        <w:rPr>
          <w:rFonts w:ascii="Arial" w:eastAsia="Arial" w:hAnsi="Arial" w:cs="Arial"/>
          <w:color w:val="000000"/>
          <w:sz w:val="26"/>
          <w:szCs w:val="26"/>
        </w:rPr>
        <w:t xml:space="preserve">(sobre los </w:t>
      </w:r>
      <w:r w:rsidR="008973D2">
        <w:rPr>
          <w:rFonts w:ascii="Arial" w:eastAsia="Arial" w:hAnsi="Arial" w:cs="Arial"/>
          <w:color w:val="000000"/>
          <w:sz w:val="26"/>
          <w:szCs w:val="26"/>
        </w:rPr>
        <w:lastRenderedPageBreak/>
        <w:t xml:space="preserve">emplazamientos), que </w:t>
      </w:r>
      <w:r w:rsidRPr="007C6B8A">
        <w:rPr>
          <w:rFonts w:ascii="Arial" w:eastAsia="Arial" w:hAnsi="Arial" w:cs="Arial"/>
          <w:color w:val="000000"/>
          <w:sz w:val="26"/>
          <w:szCs w:val="26"/>
        </w:rPr>
        <w:t>cons</w:t>
      </w:r>
      <w:r w:rsidR="008973D2">
        <w:rPr>
          <w:rFonts w:ascii="Arial" w:eastAsia="Arial" w:hAnsi="Arial" w:cs="Arial"/>
          <w:color w:val="000000"/>
          <w:sz w:val="26"/>
          <w:szCs w:val="26"/>
        </w:rPr>
        <w:t>tituye una deuda institucional constitucional q</w:t>
      </w:r>
      <w:r w:rsidRPr="007C6B8A">
        <w:rPr>
          <w:rFonts w:ascii="Arial" w:eastAsia="Arial" w:hAnsi="Arial" w:cs="Arial"/>
          <w:color w:val="000000"/>
          <w:sz w:val="26"/>
          <w:szCs w:val="26"/>
        </w:rPr>
        <w:t>u</w:t>
      </w:r>
      <w:r w:rsidR="008973D2">
        <w:rPr>
          <w:rFonts w:ascii="Arial" w:eastAsia="Arial" w:hAnsi="Arial" w:cs="Arial"/>
          <w:color w:val="000000"/>
          <w:sz w:val="26"/>
          <w:szCs w:val="26"/>
        </w:rPr>
        <w:t>e afecta la justicia cotidiana.</w:t>
      </w:r>
    </w:p>
    <w:p w14:paraId="2D91D6DC" w14:textId="4F68CF68" w:rsidR="007C6B8A" w:rsidRPr="007C6B8A" w:rsidRDefault="007C6B8A" w:rsidP="007C6B8A">
      <w:pPr>
        <w:spacing w:line="360" w:lineRule="auto"/>
        <w:jc w:val="both"/>
        <w:rPr>
          <w:rFonts w:ascii="Arial" w:eastAsia="Arial" w:hAnsi="Arial" w:cs="Arial"/>
          <w:color w:val="000000"/>
          <w:sz w:val="26"/>
          <w:szCs w:val="26"/>
        </w:rPr>
      </w:pPr>
      <w:r w:rsidRPr="007C6B8A">
        <w:rPr>
          <w:rFonts w:ascii="Arial" w:eastAsia="Arial" w:hAnsi="Arial" w:cs="Arial"/>
          <w:color w:val="000000"/>
          <w:sz w:val="26"/>
          <w:szCs w:val="26"/>
        </w:rPr>
        <w:t xml:space="preserve">El precedente judicial no debe entenderse </w:t>
      </w:r>
      <w:r w:rsidR="00C65AB3">
        <w:rPr>
          <w:rFonts w:ascii="Arial" w:eastAsia="Arial" w:hAnsi="Arial" w:cs="Arial"/>
          <w:color w:val="000000"/>
          <w:sz w:val="26"/>
          <w:szCs w:val="26"/>
        </w:rPr>
        <w:t xml:space="preserve">sólo </w:t>
      </w:r>
      <w:r w:rsidRPr="007C6B8A">
        <w:rPr>
          <w:rFonts w:ascii="Arial" w:eastAsia="Arial" w:hAnsi="Arial" w:cs="Arial"/>
          <w:color w:val="000000"/>
          <w:sz w:val="26"/>
          <w:szCs w:val="26"/>
        </w:rPr>
        <w:t>como un mandato vertical</w:t>
      </w:r>
      <w:r w:rsidR="00C65AB3">
        <w:rPr>
          <w:rFonts w:ascii="Arial" w:eastAsia="Arial" w:hAnsi="Arial" w:cs="Arial"/>
          <w:color w:val="000000"/>
          <w:sz w:val="26"/>
          <w:szCs w:val="26"/>
        </w:rPr>
        <w:t xml:space="preserve"> de coherencia del sistema</w:t>
      </w:r>
      <w:r w:rsidRPr="007C6B8A">
        <w:rPr>
          <w:rFonts w:ascii="Arial" w:eastAsia="Arial" w:hAnsi="Arial" w:cs="Arial"/>
          <w:color w:val="000000"/>
          <w:sz w:val="26"/>
          <w:szCs w:val="26"/>
        </w:rPr>
        <w:t xml:space="preserve">, sino como un </w:t>
      </w:r>
      <w:r w:rsidR="00C65AB3">
        <w:rPr>
          <w:rFonts w:ascii="Arial" w:eastAsia="Arial" w:hAnsi="Arial" w:cs="Arial"/>
          <w:color w:val="000000"/>
          <w:sz w:val="26"/>
          <w:szCs w:val="26"/>
        </w:rPr>
        <w:t xml:space="preserve">posible </w:t>
      </w:r>
      <w:r w:rsidRPr="007C6B8A">
        <w:rPr>
          <w:rFonts w:ascii="Arial" w:eastAsia="Arial" w:hAnsi="Arial" w:cs="Arial"/>
          <w:color w:val="000000"/>
          <w:sz w:val="26"/>
          <w:szCs w:val="26"/>
        </w:rPr>
        <w:t>espacio de diálogo entre los tribunales y la Suprema Corte. En ese diálogo se construye la</w:t>
      </w:r>
      <w:r w:rsidR="008973D2">
        <w:rPr>
          <w:rFonts w:ascii="Arial" w:eastAsia="Arial" w:hAnsi="Arial" w:cs="Arial"/>
          <w:color w:val="000000"/>
          <w:sz w:val="26"/>
          <w:szCs w:val="26"/>
        </w:rPr>
        <w:t xml:space="preserve"> </w:t>
      </w:r>
      <w:r w:rsidR="00C65AB3">
        <w:rPr>
          <w:rFonts w:ascii="Arial" w:eastAsia="Arial" w:hAnsi="Arial" w:cs="Arial"/>
          <w:color w:val="000000"/>
          <w:sz w:val="26"/>
          <w:szCs w:val="26"/>
        </w:rPr>
        <w:t xml:space="preserve">verdadera </w:t>
      </w:r>
      <w:r w:rsidR="008973D2">
        <w:rPr>
          <w:rFonts w:ascii="Arial" w:eastAsia="Arial" w:hAnsi="Arial" w:cs="Arial"/>
          <w:color w:val="000000"/>
          <w:sz w:val="26"/>
          <w:szCs w:val="26"/>
        </w:rPr>
        <w:t xml:space="preserve">coherencia del derecho. Son </w:t>
      </w:r>
      <w:r w:rsidRPr="007C6B8A">
        <w:rPr>
          <w:rFonts w:ascii="Arial" w:eastAsia="Arial" w:hAnsi="Arial" w:cs="Arial"/>
          <w:color w:val="000000"/>
          <w:sz w:val="26"/>
          <w:szCs w:val="26"/>
        </w:rPr>
        <w:t xml:space="preserve">los tribunales colegiados </w:t>
      </w:r>
      <w:r w:rsidR="008973D2">
        <w:rPr>
          <w:rFonts w:ascii="Arial" w:eastAsia="Arial" w:hAnsi="Arial" w:cs="Arial"/>
          <w:color w:val="000000"/>
          <w:sz w:val="26"/>
          <w:szCs w:val="26"/>
        </w:rPr>
        <w:t>quienes dada la cantidad de asuntos y su cercanía con la justicia cotidiana pueden identificar</w:t>
      </w:r>
      <w:r w:rsidRPr="007C6B8A">
        <w:rPr>
          <w:rFonts w:ascii="Arial" w:eastAsia="Arial" w:hAnsi="Arial" w:cs="Arial"/>
          <w:color w:val="000000"/>
          <w:sz w:val="26"/>
          <w:szCs w:val="26"/>
        </w:rPr>
        <w:t xml:space="preserve"> contradicciones o vacíos en la aplicación de </w:t>
      </w:r>
      <w:r w:rsidR="008973D2">
        <w:rPr>
          <w:rFonts w:ascii="Arial" w:eastAsia="Arial" w:hAnsi="Arial" w:cs="Arial"/>
          <w:color w:val="000000"/>
          <w:sz w:val="26"/>
          <w:szCs w:val="26"/>
        </w:rPr>
        <w:t xml:space="preserve">la jurisprudencia. Las denuncias de contradicciones de criterios son, entre otras maneras posibles, una vía institucional para comunicarlos a la Corte. </w:t>
      </w:r>
    </w:p>
    <w:p w14:paraId="21473A29" w14:textId="0DFB9455" w:rsidR="007C6B8A" w:rsidRPr="007C6B8A" w:rsidRDefault="00C65AB3" w:rsidP="007C6B8A">
      <w:pPr>
        <w:spacing w:line="360" w:lineRule="auto"/>
        <w:jc w:val="both"/>
        <w:rPr>
          <w:rFonts w:ascii="Arial" w:eastAsia="Arial" w:hAnsi="Arial" w:cs="Arial"/>
          <w:color w:val="000000"/>
          <w:sz w:val="26"/>
          <w:szCs w:val="26"/>
        </w:rPr>
      </w:pPr>
      <w:r>
        <w:rPr>
          <w:rFonts w:ascii="Arial" w:eastAsia="Arial" w:hAnsi="Arial" w:cs="Arial"/>
          <w:color w:val="000000"/>
          <w:sz w:val="26"/>
          <w:szCs w:val="26"/>
        </w:rPr>
        <w:t>L</w:t>
      </w:r>
      <w:r w:rsidR="007C6B8A" w:rsidRPr="007C6B8A">
        <w:rPr>
          <w:rFonts w:ascii="Arial" w:eastAsia="Arial" w:hAnsi="Arial" w:cs="Arial"/>
          <w:color w:val="000000"/>
          <w:sz w:val="26"/>
          <w:szCs w:val="26"/>
        </w:rPr>
        <w:t xml:space="preserve">a </w:t>
      </w:r>
      <w:r w:rsidR="00FE2C81">
        <w:rPr>
          <w:rFonts w:ascii="Arial" w:eastAsia="Arial" w:hAnsi="Arial" w:cs="Arial"/>
          <w:color w:val="000000"/>
          <w:sz w:val="26"/>
          <w:szCs w:val="26"/>
        </w:rPr>
        <w:t xml:space="preserve">extinta </w:t>
      </w:r>
      <w:r w:rsidR="007C6B8A" w:rsidRPr="007C6B8A">
        <w:rPr>
          <w:rFonts w:ascii="Arial" w:eastAsia="Arial" w:hAnsi="Arial" w:cs="Arial"/>
          <w:color w:val="000000"/>
          <w:sz w:val="26"/>
          <w:szCs w:val="26"/>
        </w:rPr>
        <w:t xml:space="preserve">Primera Sala </w:t>
      </w:r>
      <w:r>
        <w:rPr>
          <w:rFonts w:ascii="Arial" w:eastAsia="Arial" w:hAnsi="Arial" w:cs="Arial"/>
          <w:color w:val="000000"/>
          <w:sz w:val="26"/>
          <w:szCs w:val="26"/>
        </w:rPr>
        <w:t xml:space="preserve">decidió declarar improcedentes </w:t>
      </w:r>
      <w:r w:rsidR="007C6B8A" w:rsidRPr="007C6B8A">
        <w:rPr>
          <w:rFonts w:ascii="Arial" w:eastAsia="Arial" w:hAnsi="Arial" w:cs="Arial"/>
          <w:color w:val="000000"/>
          <w:sz w:val="26"/>
          <w:szCs w:val="26"/>
        </w:rPr>
        <w:t xml:space="preserve">las contradicciones de criterios 168/2022, 369/2022 y 93/2024, </w:t>
      </w:r>
      <w:r>
        <w:rPr>
          <w:rFonts w:ascii="Arial" w:eastAsia="Arial" w:hAnsi="Arial" w:cs="Arial"/>
          <w:color w:val="000000"/>
          <w:sz w:val="26"/>
          <w:szCs w:val="26"/>
        </w:rPr>
        <w:t xml:space="preserve">siendo un problema cotidiano, </w:t>
      </w:r>
      <w:r w:rsidR="007C6B8A" w:rsidRPr="007C6B8A">
        <w:rPr>
          <w:rFonts w:ascii="Arial" w:eastAsia="Arial" w:hAnsi="Arial" w:cs="Arial"/>
          <w:color w:val="000000"/>
          <w:sz w:val="26"/>
          <w:szCs w:val="26"/>
        </w:rPr>
        <w:t>en las cuales distintos tribunales de circuito advirtieron un conflicto real sobre la aplicación temporal de la jurisprudencia 1a./J. 39/2020 (10a.), relativa a los requisito</w:t>
      </w:r>
      <w:r>
        <w:rPr>
          <w:rFonts w:ascii="Arial" w:eastAsia="Arial" w:hAnsi="Arial" w:cs="Arial"/>
          <w:color w:val="000000"/>
          <w:sz w:val="26"/>
          <w:szCs w:val="26"/>
        </w:rPr>
        <w:t>s de validez del emplazamiento.</w:t>
      </w:r>
    </w:p>
    <w:p w14:paraId="02E9AD7D" w14:textId="77777777" w:rsidR="00C65AB3" w:rsidRDefault="00C65AB3" w:rsidP="007C6B8A">
      <w:pPr>
        <w:spacing w:line="360" w:lineRule="auto"/>
        <w:jc w:val="both"/>
        <w:rPr>
          <w:rFonts w:ascii="Arial" w:eastAsia="Arial" w:hAnsi="Arial" w:cs="Arial"/>
          <w:color w:val="000000"/>
          <w:sz w:val="26"/>
          <w:szCs w:val="26"/>
        </w:rPr>
      </w:pPr>
      <w:r>
        <w:rPr>
          <w:rFonts w:ascii="Arial" w:eastAsia="Arial" w:hAnsi="Arial" w:cs="Arial"/>
          <w:color w:val="000000"/>
          <w:sz w:val="26"/>
          <w:szCs w:val="26"/>
        </w:rPr>
        <w:t>Hoy en día no hay definición</w:t>
      </w:r>
      <w:r w:rsidR="007C6B8A" w:rsidRPr="007C6B8A">
        <w:rPr>
          <w:rFonts w:ascii="Arial" w:eastAsia="Arial" w:hAnsi="Arial" w:cs="Arial"/>
          <w:color w:val="000000"/>
          <w:sz w:val="26"/>
          <w:szCs w:val="26"/>
        </w:rPr>
        <w:t xml:space="preserve">. La Corte perdió, </w:t>
      </w:r>
      <w:r>
        <w:rPr>
          <w:rFonts w:ascii="Arial" w:eastAsia="Arial" w:hAnsi="Arial" w:cs="Arial"/>
          <w:color w:val="000000"/>
          <w:sz w:val="26"/>
          <w:szCs w:val="26"/>
        </w:rPr>
        <w:t xml:space="preserve">en aquél </w:t>
      </w:r>
      <w:r w:rsidR="007C6B8A" w:rsidRPr="007C6B8A">
        <w:rPr>
          <w:rFonts w:ascii="Arial" w:eastAsia="Arial" w:hAnsi="Arial" w:cs="Arial"/>
          <w:color w:val="000000"/>
          <w:sz w:val="26"/>
          <w:szCs w:val="26"/>
        </w:rPr>
        <w:t xml:space="preserve">entonces, la oportunidad de fijar un parámetro claro sobre los efectos temporales de la jurisprudencia procesal, y con ello dejó abierta una zona de incertidumbre que afecta a miles de procesos. El problema </w:t>
      </w:r>
      <w:r>
        <w:rPr>
          <w:rFonts w:ascii="Arial" w:eastAsia="Arial" w:hAnsi="Arial" w:cs="Arial"/>
          <w:color w:val="000000"/>
          <w:sz w:val="26"/>
          <w:szCs w:val="26"/>
        </w:rPr>
        <w:t>es práctico y de justicia cotidiana, pues</w:t>
      </w:r>
      <w:r w:rsidR="007C6B8A" w:rsidRPr="007C6B8A">
        <w:rPr>
          <w:rFonts w:ascii="Arial" w:eastAsia="Arial" w:hAnsi="Arial" w:cs="Arial"/>
          <w:color w:val="000000"/>
          <w:sz w:val="26"/>
          <w:szCs w:val="26"/>
        </w:rPr>
        <w:t xml:space="preserve"> el emplazamiento judicial es </w:t>
      </w:r>
      <w:r>
        <w:rPr>
          <w:rFonts w:ascii="Arial" w:eastAsia="Arial" w:hAnsi="Arial" w:cs="Arial"/>
          <w:color w:val="000000"/>
          <w:sz w:val="26"/>
          <w:szCs w:val="26"/>
        </w:rPr>
        <w:t>el acto que da existencia a los juicios</w:t>
      </w:r>
      <w:r w:rsidR="007C6B8A" w:rsidRPr="007C6B8A">
        <w:rPr>
          <w:rFonts w:ascii="Arial" w:eastAsia="Arial" w:hAnsi="Arial" w:cs="Arial"/>
          <w:color w:val="000000"/>
          <w:sz w:val="26"/>
          <w:szCs w:val="26"/>
        </w:rPr>
        <w:t xml:space="preserve">, la llave de acceso al debido proceso y al equilibrio entre las partes. </w:t>
      </w:r>
    </w:p>
    <w:p w14:paraId="7DC0F5DB" w14:textId="516C804F" w:rsidR="007C6B8A" w:rsidRPr="007C6B8A" w:rsidRDefault="007C6B8A" w:rsidP="007C6B8A">
      <w:pPr>
        <w:spacing w:line="360" w:lineRule="auto"/>
        <w:jc w:val="both"/>
        <w:rPr>
          <w:rFonts w:ascii="Arial" w:eastAsia="Arial" w:hAnsi="Arial" w:cs="Arial"/>
          <w:color w:val="000000"/>
          <w:sz w:val="26"/>
          <w:szCs w:val="26"/>
        </w:rPr>
      </w:pPr>
      <w:r w:rsidRPr="007C6B8A">
        <w:rPr>
          <w:rFonts w:ascii="Arial" w:eastAsia="Arial" w:hAnsi="Arial" w:cs="Arial"/>
          <w:color w:val="000000"/>
          <w:sz w:val="26"/>
          <w:szCs w:val="26"/>
        </w:rPr>
        <w:t>Su invalidez o nulidad no solo prolonga litigios, sino que erosiona la confianza en la reg</w:t>
      </w:r>
      <w:r w:rsidR="00C65AB3">
        <w:rPr>
          <w:rFonts w:ascii="Arial" w:eastAsia="Arial" w:hAnsi="Arial" w:cs="Arial"/>
          <w:color w:val="000000"/>
          <w:sz w:val="26"/>
          <w:szCs w:val="26"/>
        </w:rPr>
        <w:t xml:space="preserve">ularidad de los procedimientos. </w:t>
      </w:r>
      <w:r w:rsidRPr="007C6B8A">
        <w:rPr>
          <w:rFonts w:ascii="Arial" w:eastAsia="Arial" w:hAnsi="Arial" w:cs="Arial"/>
          <w:color w:val="000000"/>
          <w:sz w:val="26"/>
          <w:szCs w:val="26"/>
        </w:rPr>
        <w:t xml:space="preserve">Desde esa perspectiva, </w:t>
      </w:r>
      <w:r w:rsidR="00C65AB3">
        <w:rPr>
          <w:rFonts w:ascii="Arial" w:eastAsia="Arial" w:hAnsi="Arial" w:cs="Arial"/>
          <w:color w:val="000000"/>
          <w:sz w:val="26"/>
          <w:szCs w:val="26"/>
        </w:rPr>
        <w:t xml:space="preserve">me pareció importante dejar constancia de </w:t>
      </w:r>
      <w:r w:rsidRPr="007C6B8A">
        <w:rPr>
          <w:rFonts w:ascii="Arial" w:eastAsia="Arial" w:hAnsi="Arial" w:cs="Arial"/>
          <w:color w:val="000000"/>
          <w:sz w:val="26"/>
          <w:szCs w:val="26"/>
        </w:rPr>
        <w:t xml:space="preserve">la necesidad de una </w:t>
      </w:r>
      <w:r w:rsidRPr="00FE2C81">
        <w:rPr>
          <w:rFonts w:ascii="Arial" w:eastAsia="Arial" w:hAnsi="Arial" w:cs="Arial"/>
          <w:b/>
          <w:color w:val="000000"/>
          <w:sz w:val="26"/>
          <w:szCs w:val="26"/>
          <w:u w:val="single"/>
        </w:rPr>
        <w:t>reconsideración institucional.</w:t>
      </w:r>
      <w:r w:rsidRPr="007C6B8A">
        <w:rPr>
          <w:rFonts w:ascii="Arial" w:eastAsia="Arial" w:hAnsi="Arial" w:cs="Arial"/>
          <w:color w:val="000000"/>
          <w:sz w:val="26"/>
          <w:szCs w:val="26"/>
        </w:rPr>
        <w:t xml:space="preserve"> </w:t>
      </w:r>
      <w:r w:rsidR="00C65AB3">
        <w:rPr>
          <w:rFonts w:ascii="Arial" w:eastAsia="Arial" w:hAnsi="Arial" w:cs="Arial"/>
          <w:color w:val="000000"/>
          <w:sz w:val="26"/>
          <w:szCs w:val="26"/>
        </w:rPr>
        <w:t xml:space="preserve">Un </w:t>
      </w:r>
      <w:r w:rsidRPr="007C6B8A">
        <w:rPr>
          <w:rFonts w:ascii="Arial" w:eastAsia="Arial" w:hAnsi="Arial" w:cs="Arial"/>
          <w:color w:val="000000"/>
          <w:sz w:val="26"/>
          <w:szCs w:val="26"/>
        </w:rPr>
        <w:t>gesto de diálogo entre órganos del Poder Judicial que reconozca la importancia de construir parámetros comunes sobre la vigencia de la juri</w:t>
      </w:r>
      <w:r w:rsidR="00C65AB3">
        <w:rPr>
          <w:rFonts w:ascii="Arial" w:eastAsia="Arial" w:hAnsi="Arial" w:cs="Arial"/>
          <w:color w:val="000000"/>
          <w:sz w:val="26"/>
          <w:szCs w:val="26"/>
        </w:rPr>
        <w:t xml:space="preserve">sprudencia en materia procesal. Tan importante son aquellos asuntos en los cuales se definen los alcances de un derecho humano, como aquellos, como este, que abren la puerta a su defensa. </w:t>
      </w:r>
    </w:p>
    <w:p w14:paraId="3628C9CE" w14:textId="0F4F6335" w:rsidR="00C65AB3" w:rsidRDefault="007C6B8A" w:rsidP="007C6B8A">
      <w:pPr>
        <w:spacing w:line="360" w:lineRule="auto"/>
        <w:jc w:val="both"/>
        <w:rPr>
          <w:rFonts w:ascii="Arial" w:eastAsia="Arial" w:hAnsi="Arial" w:cs="Arial"/>
          <w:color w:val="000000"/>
          <w:sz w:val="26"/>
          <w:szCs w:val="26"/>
        </w:rPr>
      </w:pPr>
      <w:r w:rsidRPr="007C6B8A">
        <w:rPr>
          <w:rFonts w:ascii="Arial" w:eastAsia="Arial" w:hAnsi="Arial" w:cs="Arial"/>
          <w:color w:val="000000"/>
          <w:sz w:val="26"/>
          <w:szCs w:val="26"/>
        </w:rPr>
        <w:t>La función judicial, entendida en clave institucional, no se limita a aplicar precedentes</w:t>
      </w:r>
      <w:r w:rsidR="00C65AB3">
        <w:rPr>
          <w:rFonts w:ascii="Arial" w:eastAsia="Arial" w:hAnsi="Arial" w:cs="Arial"/>
          <w:color w:val="000000"/>
          <w:sz w:val="26"/>
          <w:szCs w:val="26"/>
        </w:rPr>
        <w:t xml:space="preserve">, sobre todo cuando ante la petición de diversos </w:t>
      </w:r>
      <w:r w:rsidR="00C65AB3">
        <w:rPr>
          <w:rFonts w:ascii="Arial" w:eastAsia="Arial" w:hAnsi="Arial" w:cs="Arial"/>
          <w:color w:val="000000"/>
          <w:sz w:val="26"/>
          <w:szCs w:val="26"/>
        </w:rPr>
        <w:lastRenderedPageBreak/>
        <w:t>tribunales colegiados de la federación no se dio una solución definitiva a la problemática planteada</w:t>
      </w:r>
      <w:r w:rsidRPr="007C6B8A">
        <w:rPr>
          <w:rFonts w:ascii="Arial" w:eastAsia="Arial" w:hAnsi="Arial" w:cs="Arial"/>
          <w:color w:val="000000"/>
          <w:sz w:val="26"/>
          <w:szCs w:val="26"/>
        </w:rPr>
        <w:t xml:space="preserve">, sino también a advertir cuándo la evolución del derecho requiere volver a pensarlos. </w:t>
      </w:r>
      <w:r w:rsidR="00FE2C81">
        <w:rPr>
          <w:rFonts w:ascii="Arial" w:eastAsia="Arial" w:hAnsi="Arial" w:cs="Arial"/>
          <w:color w:val="000000"/>
          <w:sz w:val="26"/>
          <w:szCs w:val="26"/>
        </w:rPr>
        <w:t>Cuando se abren ventan</w:t>
      </w:r>
      <w:r w:rsidR="00C65AB3">
        <w:rPr>
          <w:rFonts w:ascii="Arial" w:eastAsia="Arial" w:hAnsi="Arial" w:cs="Arial"/>
          <w:color w:val="000000"/>
          <w:sz w:val="26"/>
          <w:szCs w:val="26"/>
        </w:rPr>
        <w:t xml:space="preserve">as de oportunidad para brindar coherencia al sistema. Sirva este voto concurrente como un llamado respetuoso dar uniformidad a las resoluciones de los tribunales de la federación. </w:t>
      </w:r>
    </w:p>
    <w:p w14:paraId="00000020" w14:textId="77777777" w:rsidR="002C2CEC" w:rsidRDefault="00CA258F">
      <w:pPr>
        <w:spacing w:after="160" w:line="360" w:lineRule="auto"/>
        <w:jc w:val="center"/>
        <w:rPr>
          <w:rFonts w:ascii="Arial" w:eastAsia="Arial" w:hAnsi="Arial" w:cs="Arial"/>
          <w:b/>
          <w:color w:val="000000"/>
          <w:sz w:val="26"/>
          <w:szCs w:val="26"/>
        </w:rPr>
      </w:pPr>
      <w:r>
        <w:rPr>
          <w:rFonts w:ascii="Arial" w:eastAsia="Arial" w:hAnsi="Arial" w:cs="Arial"/>
          <w:b/>
          <w:color w:val="000000"/>
          <w:sz w:val="26"/>
          <w:szCs w:val="26"/>
        </w:rPr>
        <w:t>MAGISTRADO JUAN JAIME GONZÁLEZ VARAS</w:t>
      </w:r>
    </w:p>
    <w:p w14:paraId="00000021" w14:textId="77777777" w:rsidR="002C2CEC" w:rsidRDefault="002C2CEC">
      <w:pPr>
        <w:spacing w:after="0" w:line="360" w:lineRule="auto"/>
        <w:ind w:firstLine="708"/>
        <w:jc w:val="both"/>
        <w:rPr>
          <w:rFonts w:ascii="Arial" w:eastAsia="Arial" w:hAnsi="Arial" w:cs="Arial"/>
          <w:sz w:val="28"/>
          <w:szCs w:val="28"/>
        </w:rPr>
      </w:pPr>
      <w:bookmarkStart w:id="2" w:name="_heading=h.430t3livm8qv" w:colFirst="0" w:colLast="0"/>
      <w:bookmarkEnd w:id="2"/>
    </w:p>
    <w:sectPr w:rsidR="002C2CEC">
      <w:headerReference w:type="even" r:id="rId12"/>
      <w:headerReference w:type="default" r:id="rId13"/>
      <w:footerReference w:type="first" r:id="rId14"/>
      <w:pgSz w:w="12242" w:h="19301"/>
      <w:pgMar w:top="1701" w:right="851" w:bottom="851" w:left="3119" w:header="1134"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DC484" w14:textId="77777777" w:rsidR="00701451" w:rsidRDefault="00701451">
      <w:pPr>
        <w:spacing w:after="0" w:line="240" w:lineRule="auto"/>
      </w:pPr>
      <w:r>
        <w:separator/>
      </w:r>
    </w:p>
  </w:endnote>
  <w:endnote w:type="continuationSeparator" w:id="0">
    <w:p w14:paraId="2852793D" w14:textId="77777777" w:rsidR="00701451" w:rsidRDefault="00701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7" w14:textId="77777777" w:rsidR="002C2CEC" w:rsidRDefault="002C2C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B156A" w14:textId="77777777" w:rsidR="00701451" w:rsidRDefault="00701451">
      <w:pPr>
        <w:spacing w:after="0" w:line="240" w:lineRule="auto"/>
      </w:pPr>
      <w:r>
        <w:separator/>
      </w:r>
    </w:p>
  </w:footnote>
  <w:footnote w:type="continuationSeparator" w:id="0">
    <w:p w14:paraId="148D122C" w14:textId="77777777" w:rsidR="00701451" w:rsidRDefault="00701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5" w14:textId="77777777" w:rsidR="002C2CEC" w:rsidRDefault="00CA258F">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fldChar w:fldCharType="begin"/>
    </w:r>
    <w:r>
      <w:rPr>
        <w:rFonts w:ascii="Times New Roman" w:eastAsia="Times New Roman" w:hAnsi="Times New Roman" w:cs="Times New Roman"/>
        <w:color w:val="000000"/>
        <w:sz w:val="32"/>
        <w:szCs w:val="32"/>
      </w:rPr>
      <w:instrText>PAGE</w:instrText>
    </w:r>
    <w:r>
      <w:rPr>
        <w:rFonts w:ascii="Times New Roman" w:eastAsia="Times New Roman" w:hAnsi="Times New Roman" w:cs="Times New Roman"/>
        <w:color w:val="000000"/>
        <w:sz w:val="32"/>
        <w:szCs w:val="32"/>
      </w:rPr>
      <w:fldChar w:fldCharType="separate"/>
    </w:r>
    <w:r w:rsidR="001859B7">
      <w:rPr>
        <w:rFonts w:ascii="Times New Roman" w:eastAsia="Times New Roman" w:hAnsi="Times New Roman" w:cs="Times New Roman"/>
        <w:noProof/>
        <w:color w:val="000000"/>
        <w:sz w:val="32"/>
        <w:szCs w:val="32"/>
      </w:rPr>
      <w:t>4</w:t>
    </w:r>
    <w:r>
      <w:rPr>
        <w:rFonts w:ascii="Times New Roman" w:eastAsia="Times New Roman" w:hAnsi="Times New Roman" w:cs="Times New Roman"/>
        <w:color w:val="000000"/>
        <w:sz w:val="32"/>
        <w:szCs w:val="32"/>
      </w:rPr>
      <w:fldChar w:fldCharType="end"/>
    </w:r>
    <w:r>
      <w:rPr>
        <w:rFonts w:ascii="Times New Roman" w:eastAsia="Times New Roman" w:hAnsi="Times New Roman" w:cs="Times New Roman"/>
        <w:color w:val="000000"/>
        <w:sz w:val="32"/>
        <w:szCs w:val="32"/>
      </w:rPr>
      <w:t xml:space="preserve">                          R.C. </w:t>
    </w:r>
    <w:r>
      <w:rPr>
        <w:rFonts w:ascii="Times New Roman" w:eastAsia="Times New Roman" w:hAnsi="Times New Roman" w:cs="Times New Roman"/>
        <w:sz w:val="32"/>
        <w:szCs w:val="32"/>
      </w:rPr>
      <w:t>206</w:t>
    </w:r>
    <w:r>
      <w:rPr>
        <w:rFonts w:ascii="Times New Roman" w:eastAsia="Times New Roman" w:hAnsi="Times New Roman" w:cs="Times New Roman"/>
        <w:color w:val="000000"/>
        <w:sz w:val="32"/>
        <w:szCs w:val="32"/>
      </w:rPr>
      <w:t>/2025</w:t>
    </w:r>
  </w:p>
  <w:p w14:paraId="00000026" w14:textId="77777777" w:rsidR="002C2CEC" w:rsidRDefault="002C2CEC">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2" w14:textId="77777777" w:rsidR="002C2CEC" w:rsidRDefault="002C2CEC">
    <w:pPr>
      <w:pBdr>
        <w:top w:val="nil"/>
        <w:left w:val="nil"/>
        <w:bottom w:val="nil"/>
        <w:right w:val="nil"/>
        <w:between w:val="nil"/>
      </w:pBdr>
      <w:tabs>
        <w:tab w:val="center" w:pos="4419"/>
        <w:tab w:val="right" w:pos="8838"/>
      </w:tabs>
      <w:spacing w:after="0" w:line="240" w:lineRule="auto"/>
      <w:rPr>
        <w:color w:val="000000"/>
      </w:rPr>
    </w:pPr>
  </w:p>
  <w:p w14:paraId="00000023" w14:textId="77777777" w:rsidR="002C2CEC" w:rsidRDefault="00CA258F">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fldChar w:fldCharType="begin"/>
    </w:r>
    <w:r>
      <w:rPr>
        <w:rFonts w:ascii="Times New Roman" w:eastAsia="Times New Roman" w:hAnsi="Times New Roman" w:cs="Times New Roman"/>
        <w:color w:val="000000"/>
        <w:sz w:val="32"/>
        <w:szCs w:val="32"/>
      </w:rPr>
      <w:instrText>PAGE</w:instrText>
    </w:r>
    <w:r>
      <w:rPr>
        <w:rFonts w:ascii="Times New Roman" w:eastAsia="Times New Roman" w:hAnsi="Times New Roman" w:cs="Times New Roman"/>
        <w:color w:val="000000"/>
        <w:sz w:val="32"/>
        <w:szCs w:val="32"/>
      </w:rPr>
      <w:fldChar w:fldCharType="separate"/>
    </w:r>
    <w:r w:rsidR="001859B7">
      <w:rPr>
        <w:rFonts w:ascii="Times New Roman" w:eastAsia="Times New Roman" w:hAnsi="Times New Roman" w:cs="Times New Roman"/>
        <w:noProof/>
        <w:color w:val="000000"/>
        <w:sz w:val="32"/>
        <w:szCs w:val="32"/>
      </w:rPr>
      <w:t>5</w:t>
    </w:r>
    <w:r>
      <w:rPr>
        <w:rFonts w:ascii="Times New Roman" w:eastAsia="Times New Roman" w:hAnsi="Times New Roman" w:cs="Times New Roman"/>
        <w:color w:val="000000"/>
        <w:sz w:val="32"/>
        <w:szCs w:val="32"/>
      </w:rPr>
      <w:fldChar w:fldCharType="end"/>
    </w:r>
    <w:r>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sz w:val="32"/>
        <w:szCs w:val="32"/>
      </w:rPr>
      <w:t>R.C. 206/2025</w:t>
    </w:r>
  </w:p>
  <w:p w14:paraId="00000024" w14:textId="77777777" w:rsidR="002C2CEC" w:rsidRDefault="002C2CEC">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057CA"/>
    <w:multiLevelType w:val="multilevel"/>
    <w:tmpl w:val="2BE675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2C2CEC"/>
    <w:rsid w:val="000448B0"/>
    <w:rsid w:val="000A59DF"/>
    <w:rsid w:val="001859B7"/>
    <w:rsid w:val="001E2F8F"/>
    <w:rsid w:val="00227A08"/>
    <w:rsid w:val="002C2CEC"/>
    <w:rsid w:val="006A49FA"/>
    <w:rsid w:val="00701451"/>
    <w:rsid w:val="00752DA7"/>
    <w:rsid w:val="007C6B8A"/>
    <w:rsid w:val="0081791E"/>
    <w:rsid w:val="00872EAD"/>
    <w:rsid w:val="00895AC3"/>
    <w:rsid w:val="008973D2"/>
    <w:rsid w:val="008A35AB"/>
    <w:rsid w:val="009D7858"/>
    <w:rsid w:val="00AE4BEB"/>
    <w:rsid w:val="00B231B2"/>
    <w:rsid w:val="00C65AB3"/>
    <w:rsid w:val="00CA258F"/>
    <w:rsid w:val="00CB0B13"/>
    <w:rsid w:val="00D00103"/>
    <w:rsid w:val="00D52BD0"/>
    <w:rsid w:val="00DC7341"/>
    <w:rsid w:val="00DD38B3"/>
    <w:rsid w:val="00E90A0B"/>
    <w:rsid w:val="00EB3249"/>
    <w:rsid w:val="00EC124B"/>
    <w:rsid w:val="00EE7B0A"/>
    <w:rsid w:val="00FE2C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58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paragraph" w:styleId="Encabezado">
    <w:name w:val="header"/>
    <w:basedOn w:val="Normal"/>
    <w:link w:val="EncabezadoCar"/>
    <w:uiPriority w:val="99"/>
    <w:unhideWhenUsed/>
    <w:rsid w:val="00CC4F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4F40"/>
  </w:style>
  <w:style w:type="paragraph" w:styleId="Piedepgina">
    <w:name w:val="footer"/>
    <w:basedOn w:val="Normal"/>
    <w:link w:val="PiedepginaCar"/>
    <w:uiPriority w:val="99"/>
    <w:unhideWhenUsed/>
    <w:rsid w:val="00CC4F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4F40"/>
  </w:style>
  <w:style w:type="paragraph" w:styleId="Textoindependiente2">
    <w:name w:val="Body Text 2"/>
    <w:basedOn w:val="Normal"/>
    <w:link w:val="Textoindependiente2Car"/>
    <w:rsid w:val="00E913D4"/>
    <w:pPr>
      <w:spacing w:after="0" w:line="240" w:lineRule="auto"/>
      <w:jc w:val="center"/>
    </w:pPr>
    <w:rPr>
      <w:rFonts w:ascii="Arial" w:eastAsia="Times New Roman" w:hAnsi="Arial" w:cs="Times New Roman"/>
      <w:sz w:val="28"/>
      <w:szCs w:val="20"/>
      <w:lang w:val="es-ES" w:eastAsia="es-ES"/>
    </w:rPr>
  </w:style>
  <w:style w:type="character" w:customStyle="1" w:styleId="Textoindependiente2Car">
    <w:name w:val="Texto independiente 2 Car"/>
    <w:basedOn w:val="Fuentedeprrafopredeter"/>
    <w:link w:val="Textoindependiente2"/>
    <w:rsid w:val="00E913D4"/>
    <w:rPr>
      <w:rFonts w:ascii="Arial" w:eastAsia="Times New Roman" w:hAnsi="Arial" w:cs="Times New Roman"/>
      <w:sz w:val="28"/>
      <w:szCs w:val="20"/>
      <w:lang w:val="es-ES" w:eastAsia="es-ES"/>
    </w:rPr>
  </w:style>
  <w:style w:type="character" w:styleId="Hipervnculo">
    <w:name w:val="Hyperlink"/>
    <w:basedOn w:val="Fuentedeprrafopredeter"/>
    <w:uiPriority w:val="99"/>
    <w:unhideWhenUsed/>
    <w:rsid w:val="00E913D4"/>
    <w:rPr>
      <w:rFonts w:ascii="Times New Roman" w:hAnsi="Times New Roman" w:cs="Times New Roman" w:hint="default"/>
      <w:color w:val="0000FF" w:themeColor="hyperlink"/>
      <w:u w:val="single"/>
    </w:rPr>
  </w:style>
  <w:style w:type="paragraph" w:styleId="Textodeglobo">
    <w:name w:val="Balloon Text"/>
    <w:basedOn w:val="Normal"/>
    <w:link w:val="TextodegloboCar"/>
    <w:uiPriority w:val="99"/>
    <w:semiHidden/>
    <w:unhideWhenUsed/>
    <w:rsid w:val="003E1F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1F6D"/>
    <w:rPr>
      <w:rFonts w:ascii="Tahoma" w:hAnsi="Tahoma" w:cs="Tahoma"/>
      <w:sz w:val="16"/>
      <w:szCs w:val="16"/>
    </w:rPr>
  </w:style>
  <w:style w:type="paragraph" w:customStyle="1" w:styleId="parrafo">
    <w:name w:val="parrafo"/>
    <w:basedOn w:val="Normal"/>
    <w:rsid w:val="00A21B50"/>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673BD2"/>
    <w:pPr>
      <w:spacing w:after="0" w:line="240" w:lineRule="auto"/>
    </w:pPr>
    <w:rPr>
      <w:rFonts w:eastAsiaTheme="minorEastAsia"/>
      <w:lang w:val="es-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Ref. de nota al pie 2,Footnotes refss,Texto de nota al pie,Appel note de bas de page,Footnote number,referencia nota al pie,BVI fnr,f,4_G,16 Point,Superscript 6 Point,Texto nota al pie,Footnote Reference Char3,Footnote Reference,Ref"/>
    <w:link w:val="4GChar"/>
    <w:uiPriority w:val="99"/>
    <w:unhideWhenUsed/>
    <w:qFormat/>
    <w:rsid w:val="00902BE4"/>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902BE4"/>
    <w:pPr>
      <w:spacing w:after="0" w:line="240" w:lineRule="auto"/>
      <w:jc w:val="both"/>
    </w:pPr>
    <w:rPr>
      <w:vertAlign w:val="superscript"/>
    </w:rPr>
  </w:style>
  <w:style w:type="character" w:customStyle="1" w:styleId="Mencinsinresolver1">
    <w:name w:val="Mención sin resolver1"/>
    <w:basedOn w:val="Fuentedeprrafopredeter"/>
    <w:uiPriority w:val="99"/>
    <w:semiHidden/>
    <w:unhideWhenUsed/>
    <w:rsid w:val="00A57750"/>
    <w:rPr>
      <w:color w:val="605E5C"/>
      <w:shd w:val="clear" w:color="auto" w:fill="E1DFDD"/>
    </w:rPr>
  </w:style>
  <w:style w:type="paragraph" w:customStyle="1" w:styleId="Estilo">
    <w:name w:val="Estilo"/>
    <w:basedOn w:val="Sinespaciado"/>
    <w:link w:val="EstiloCar"/>
    <w:qFormat/>
    <w:rsid w:val="00B51B62"/>
    <w:pPr>
      <w:jc w:val="both"/>
    </w:pPr>
    <w:rPr>
      <w:rFonts w:ascii="Arial" w:hAnsi="Arial"/>
      <w:sz w:val="24"/>
    </w:rPr>
  </w:style>
  <w:style w:type="character" w:customStyle="1" w:styleId="EstiloCar">
    <w:name w:val="Estilo Car"/>
    <w:basedOn w:val="Fuentedeprrafopredeter"/>
    <w:link w:val="Estilo"/>
    <w:rsid w:val="00B51B62"/>
    <w:rPr>
      <w:rFonts w:ascii="Arial" w:hAnsi="Arial"/>
      <w:sz w:val="24"/>
    </w:rPr>
  </w:style>
  <w:style w:type="paragraph" w:styleId="Sinespaciado">
    <w:name w:val="No Spacing"/>
    <w:uiPriority w:val="1"/>
    <w:qFormat/>
    <w:rsid w:val="00B51B62"/>
    <w:pPr>
      <w:spacing w:after="0" w:line="240" w:lineRule="auto"/>
    </w:pPr>
  </w:style>
  <w:style w:type="paragraph" w:styleId="Prrafodelista">
    <w:name w:val="List Paragraph"/>
    <w:aliases w:val="Cita texto,TEXTO GENERAL SENTENCIAS,Lista vistosa - Énfasis 11,Párrafo de lista2,Párrafo de lista1,Footnote,List Paragraph1,Colorful List - Accent 11,Lista multicolor - Énfasis 11,Cuadrícula clara - Énfasis 31,Trascripción,Dot pt,lp1,D"/>
    <w:basedOn w:val="Normal"/>
    <w:link w:val="PrrafodelistaCar"/>
    <w:uiPriority w:val="34"/>
    <w:qFormat/>
    <w:rsid w:val="00361687"/>
    <w:pPr>
      <w:ind w:left="720"/>
      <w:contextualSpacing/>
    </w:pPr>
  </w:style>
  <w:style w:type="character" w:styleId="nfasissutil">
    <w:name w:val="Subtle Emphasis"/>
    <w:basedOn w:val="Fuentedeprrafopredeter"/>
    <w:uiPriority w:val="19"/>
    <w:qFormat/>
    <w:rsid w:val="0018193D"/>
    <w:rPr>
      <w:i/>
      <w:iCs/>
      <w:color w:val="808080" w:themeColor="text1" w:themeTint="7F"/>
    </w:rPr>
  </w:style>
  <w:style w:type="character" w:customStyle="1" w:styleId="Mencinsinresolver2">
    <w:name w:val="Mención sin resolver2"/>
    <w:basedOn w:val="Fuentedeprrafopredeter"/>
    <w:uiPriority w:val="99"/>
    <w:semiHidden/>
    <w:unhideWhenUsed/>
    <w:rsid w:val="00E37205"/>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 C"/>
    <w:basedOn w:val="Normal"/>
    <w:link w:val="TextonotapieCar"/>
    <w:uiPriority w:val="99"/>
    <w:unhideWhenUsed/>
    <w:qFormat/>
    <w:rsid w:val="00374E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C Car"/>
    <w:basedOn w:val="Fuentedeprrafopredeter"/>
    <w:link w:val="Textonotapie"/>
    <w:uiPriority w:val="99"/>
    <w:qFormat/>
    <w:rsid w:val="00374EEC"/>
    <w:rPr>
      <w:sz w:val="20"/>
      <w:szCs w:val="20"/>
    </w:rPr>
  </w:style>
  <w:style w:type="character" w:customStyle="1" w:styleId="PrrafodelistaCar">
    <w:name w:val="Párrafo de lista Car"/>
    <w:aliases w:val="Cita texto Car,TEXTO GENERAL SENTENCIAS Car,Lista vistosa - Énfasis 11 Car,Párrafo de lista2 Car,Párrafo de lista1 Car,Footnote Car,List Paragraph1 Car,Colorful List - Accent 11 Car,Lista multicolor - Énfasis 11 Car,Trascripción Car"/>
    <w:link w:val="Prrafodelista"/>
    <w:uiPriority w:val="34"/>
    <w:qFormat/>
    <w:locked/>
    <w:rsid w:val="00BC064A"/>
  </w:style>
  <w:style w:type="paragraph" w:styleId="NormalWeb">
    <w:name w:val="Normal (Web)"/>
    <w:basedOn w:val="Normal"/>
    <w:uiPriority w:val="99"/>
    <w:semiHidden/>
    <w:unhideWhenUsed/>
    <w:rsid w:val="00145C00"/>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145C00"/>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visitado">
    <w:name w:val="FollowedHyperlink"/>
    <w:basedOn w:val="Fuentedeprrafopredeter"/>
    <w:uiPriority w:val="99"/>
    <w:semiHidden/>
    <w:unhideWhenUsed/>
    <w:rsid w:val="00EB3249"/>
    <w:rPr>
      <w:color w:val="800080" w:themeColor="followedHyperlink"/>
      <w:u w:val="single"/>
    </w:rPr>
  </w:style>
  <w:style w:type="character" w:customStyle="1" w:styleId="UnresolvedMention">
    <w:name w:val="Unresolved Mention"/>
    <w:basedOn w:val="Fuentedeprrafopredeter"/>
    <w:uiPriority w:val="99"/>
    <w:semiHidden/>
    <w:unhideWhenUsed/>
    <w:rsid w:val="00B231B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paragraph" w:styleId="Encabezado">
    <w:name w:val="header"/>
    <w:basedOn w:val="Normal"/>
    <w:link w:val="EncabezadoCar"/>
    <w:uiPriority w:val="99"/>
    <w:unhideWhenUsed/>
    <w:rsid w:val="00CC4F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4F40"/>
  </w:style>
  <w:style w:type="paragraph" w:styleId="Piedepgina">
    <w:name w:val="footer"/>
    <w:basedOn w:val="Normal"/>
    <w:link w:val="PiedepginaCar"/>
    <w:uiPriority w:val="99"/>
    <w:unhideWhenUsed/>
    <w:rsid w:val="00CC4F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4F40"/>
  </w:style>
  <w:style w:type="paragraph" w:styleId="Textoindependiente2">
    <w:name w:val="Body Text 2"/>
    <w:basedOn w:val="Normal"/>
    <w:link w:val="Textoindependiente2Car"/>
    <w:rsid w:val="00E913D4"/>
    <w:pPr>
      <w:spacing w:after="0" w:line="240" w:lineRule="auto"/>
      <w:jc w:val="center"/>
    </w:pPr>
    <w:rPr>
      <w:rFonts w:ascii="Arial" w:eastAsia="Times New Roman" w:hAnsi="Arial" w:cs="Times New Roman"/>
      <w:sz w:val="28"/>
      <w:szCs w:val="20"/>
      <w:lang w:val="es-ES" w:eastAsia="es-ES"/>
    </w:rPr>
  </w:style>
  <w:style w:type="character" w:customStyle="1" w:styleId="Textoindependiente2Car">
    <w:name w:val="Texto independiente 2 Car"/>
    <w:basedOn w:val="Fuentedeprrafopredeter"/>
    <w:link w:val="Textoindependiente2"/>
    <w:rsid w:val="00E913D4"/>
    <w:rPr>
      <w:rFonts w:ascii="Arial" w:eastAsia="Times New Roman" w:hAnsi="Arial" w:cs="Times New Roman"/>
      <w:sz w:val="28"/>
      <w:szCs w:val="20"/>
      <w:lang w:val="es-ES" w:eastAsia="es-ES"/>
    </w:rPr>
  </w:style>
  <w:style w:type="character" w:styleId="Hipervnculo">
    <w:name w:val="Hyperlink"/>
    <w:basedOn w:val="Fuentedeprrafopredeter"/>
    <w:uiPriority w:val="99"/>
    <w:unhideWhenUsed/>
    <w:rsid w:val="00E913D4"/>
    <w:rPr>
      <w:rFonts w:ascii="Times New Roman" w:hAnsi="Times New Roman" w:cs="Times New Roman" w:hint="default"/>
      <w:color w:val="0000FF" w:themeColor="hyperlink"/>
      <w:u w:val="single"/>
    </w:rPr>
  </w:style>
  <w:style w:type="paragraph" w:styleId="Textodeglobo">
    <w:name w:val="Balloon Text"/>
    <w:basedOn w:val="Normal"/>
    <w:link w:val="TextodegloboCar"/>
    <w:uiPriority w:val="99"/>
    <w:semiHidden/>
    <w:unhideWhenUsed/>
    <w:rsid w:val="003E1F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1F6D"/>
    <w:rPr>
      <w:rFonts w:ascii="Tahoma" w:hAnsi="Tahoma" w:cs="Tahoma"/>
      <w:sz w:val="16"/>
      <w:szCs w:val="16"/>
    </w:rPr>
  </w:style>
  <w:style w:type="paragraph" w:customStyle="1" w:styleId="parrafo">
    <w:name w:val="parrafo"/>
    <w:basedOn w:val="Normal"/>
    <w:rsid w:val="00A21B50"/>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673BD2"/>
    <w:pPr>
      <w:spacing w:after="0" w:line="240" w:lineRule="auto"/>
    </w:pPr>
    <w:rPr>
      <w:rFonts w:eastAsiaTheme="minorEastAsia"/>
      <w:lang w:val="es-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Ref. de nota al pie 2,Footnotes refss,Texto de nota al pie,Appel note de bas de page,Footnote number,referencia nota al pie,BVI fnr,f,4_G,16 Point,Superscript 6 Point,Texto nota al pie,Footnote Reference Char3,Footnote Reference,Ref"/>
    <w:link w:val="4GChar"/>
    <w:uiPriority w:val="99"/>
    <w:unhideWhenUsed/>
    <w:qFormat/>
    <w:rsid w:val="00902BE4"/>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902BE4"/>
    <w:pPr>
      <w:spacing w:after="0" w:line="240" w:lineRule="auto"/>
      <w:jc w:val="both"/>
    </w:pPr>
    <w:rPr>
      <w:vertAlign w:val="superscript"/>
    </w:rPr>
  </w:style>
  <w:style w:type="character" w:customStyle="1" w:styleId="Mencinsinresolver1">
    <w:name w:val="Mención sin resolver1"/>
    <w:basedOn w:val="Fuentedeprrafopredeter"/>
    <w:uiPriority w:val="99"/>
    <w:semiHidden/>
    <w:unhideWhenUsed/>
    <w:rsid w:val="00A57750"/>
    <w:rPr>
      <w:color w:val="605E5C"/>
      <w:shd w:val="clear" w:color="auto" w:fill="E1DFDD"/>
    </w:rPr>
  </w:style>
  <w:style w:type="paragraph" w:customStyle="1" w:styleId="Estilo">
    <w:name w:val="Estilo"/>
    <w:basedOn w:val="Sinespaciado"/>
    <w:link w:val="EstiloCar"/>
    <w:qFormat/>
    <w:rsid w:val="00B51B62"/>
    <w:pPr>
      <w:jc w:val="both"/>
    </w:pPr>
    <w:rPr>
      <w:rFonts w:ascii="Arial" w:hAnsi="Arial"/>
      <w:sz w:val="24"/>
    </w:rPr>
  </w:style>
  <w:style w:type="character" w:customStyle="1" w:styleId="EstiloCar">
    <w:name w:val="Estilo Car"/>
    <w:basedOn w:val="Fuentedeprrafopredeter"/>
    <w:link w:val="Estilo"/>
    <w:rsid w:val="00B51B62"/>
    <w:rPr>
      <w:rFonts w:ascii="Arial" w:hAnsi="Arial"/>
      <w:sz w:val="24"/>
    </w:rPr>
  </w:style>
  <w:style w:type="paragraph" w:styleId="Sinespaciado">
    <w:name w:val="No Spacing"/>
    <w:uiPriority w:val="1"/>
    <w:qFormat/>
    <w:rsid w:val="00B51B62"/>
    <w:pPr>
      <w:spacing w:after="0" w:line="240" w:lineRule="auto"/>
    </w:pPr>
  </w:style>
  <w:style w:type="paragraph" w:styleId="Prrafodelista">
    <w:name w:val="List Paragraph"/>
    <w:aliases w:val="Cita texto,TEXTO GENERAL SENTENCIAS,Lista vistosa - Énfasis 11,Párrafo de lista2,Párrafo de lista1,Footnote,List Paragraph1,Colorful List - Accent 11,Lista multicolor - Énfasis 11,Cuadrícula clara - Énfasis 31,Trascripción,Dot pt,lp1,D"/>
    <w:basedOn w:val="Normal"/>
    <w:link w:val="PrrafodelistaCar"/>
    <w:uiPriority w:val="34"/>
    <w:qFormat/>
    <w:rsid w:val="00361687"/>
    <w:pPr>
      <w:ind w:left="720"/>
      <w:contextualSpacing/>
    </w:pPr>
  </w:style>
  <w:style w:type="character" w:styleId="nfasissutil">
    <w:name w:val="Subtle Emphasis"/>
    <w:basedOn w:val="Fuentedeprrafopredeter"/>
    <w:uiPriority w:val="19"/>
    <w:qFormat/>
    <w:rsid w:val="0018193D"/>
    <w:rPr>
      <w:i/>
      <w:iCs/>
      <w:color w:val="808080" w:themeColor="text1" w:themeTint="7F"/>
    </w:rPr>
  </w:style>
  <w:style w:type="character" w:customStyle="1" w:styleId="Mencinsinresolver2">
    <w:name w:val="Mención sin resolver2"/>
    <w:basedOn w:val="Fuentedeprrafopredeter"/>
    <w:uiPriority w:val="99"/>
    <w:semiHidden/>
    <w:unhideWhenUsed/>
    <w:rsid w:val="00E37205"/>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 C"/>
    <w:basedOn w:val="Normal"/>
    <w:link w:val="TextonotapieCar"/>
    <w:uiPriority w:val="99"/>
    <w:unhideWhenUsed/>
    <w:qFormat/>
    <w:rsid w:val="00374E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C Car"/>
    <w:basedOn w:val="Fuentedeprrafopredeter"/>
    <w:link w:val="Textonotapie"/>
    <w:uiPriority w:val="99"/>
    <w:qFormat/>
    <w:rsid w:val="00374EEC"/>
    <w:rPr>
      <w:sz w:val="20"/>
      <w:szCs w:val="20"/>
    </w:rPr>
  </w:style>
  <w:style w:type="character" w:customStyle="1" w:styleId="PrrafodelistaCar">
    <w:name w:val="Párrafo de lista Car"/>
    <w:aliases w:val="Cita texto Car,TEXTO GENERAL SENTENCIAS Car,Lista vistosa - Énfasis 11 Car,Párrafo de lista2 Car,Párrafo de lista1 Car,Footnote Car,List Paragraph1 Car,Colorful List - Accent 11 Car,Lista multicolor - Énfasis 11 Car,Trascripción Car"/>
    <w:link w:val="Prrafodelista"/>
    <w:uiPriority w:val="34"/>
    <w:qFormat/>
    <w:locked/>
    <w:rsid w:val="00BC064A"/>
  </w:style>
  <w:style w:type="paragraph" w:styleId="NormalWeb">
    <w:name w:val="Normal (Web)"/>
    <w:basedOn w:val="Normal"/>
    <w:uiPriority w:val="99"/>
    <w:semiHidden/>
    <w:unhideWhenUsed/>
    <w:rsid w:val="00145C00"/>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145C00"/>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visitado">
    <w:name w:val="FollowedHyperlink"/>
    <w:basedOn w:val="Fuentedeprrafopredeter"/>
    <w:uiPriority w:val="99"/>
    <w:semiHidden/>
    <w:unhideWhenUsed/>
    <w:rsid w:val="00EB3249"/>
    <w:rPr>
      <w:color w:val="800080" w:themeColor="followedHyperlink"/>
      <w:u w:val="single"/>
    </w:rPr>
  </w:style>
  <w:style w:type="character" w:customStyle="1" w:styleId="UnresolvedMention">
    <w:name w:val="Unresolved Mention"/>
    <w:basedOn w:val="Fuentedeprrafopredeter"/>
    <w:uiPriority w:val="99"/>
    <w:semiHidden/>
    <w:unhideWhenUsed/>
    <w:rsid w:val="00B23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ps2.cjf.gob.mx/BVS/TransmisionBiblioteca?clave=20774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apps.cjf.gob.mx/BVS/TransmisionBiblioteca?clave=207740"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HsRSdyAS9xRVHu6joPUcErZWcA==">CgMxLjAyDmguNDMwdDNsaXZtOHF2OAByITFhV1dTWlB5RDZOV3Q0YjZxVWZoNWxyNmo1bEJjUDFKWg==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1357</Words>
  <Characters>7469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JAIME GONZALEZ VARAS</dc:creator>
  <cp:lastModifiedBy>Nora Acosta Hernandez</cp:lastModifiedBy>
  <cp:revision>29</cp:revision>
  <dcterms:created xsi:type="dcterms:W3CDTF">2025-10-27T21:33:00Z</dcterms:created>
  <dcterms:modified xsi:type="dcterms:W3CDTF">2025-11-04T20:24:00Z</dcterms:modified>
</cp:coreProperties>
</file>